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A44" w:rsidRPr="00B26EA4" w:rsidRDefault="0033363B" w:rsidP="00B26EA4">
      <w:pPr>
        <w:ind w:left="142"/>
        <w:jc w:val="right"/>
        <w:rPr>
          <w:b/>
          <w:lang w:val="fr-BE"/>
        </w:rPr>
      </w:pPr>
      <w:r w:rsidRPr="00B26EA4">
        <w:rPr>
          <w:b/>
          <w:lang w:val="fr-BE"/>
        </w:rPr>
        <w:t>APPEL D'OFFRE POUR TRADUCTIONS ASF</w:t>
      </w:r>
    </w:p>
    <w:p w:rsidR="00582F0A" w:rsidRPr="00B26EA4" w:rsidRDefault="00582F0A" w:rsidP="00B26EA4">
      <w:pPr>
        <w:tabs>
          <w:tab w:val="left" w:pos="5430"/>
        </w:tabs>
        <w:ind w:left="142"/>
        <w:rPr>
          <w:b/>
          <w:sz w:val="10"/>
          <w:szCs w:val="10"/>
          <w:lang w:val="fr-BE"/>
        </w:rPr>
      </w:pPr>
      <w:r w:rsidRPr="00B26EA4">
        <w:rPr>
          <w:b/>
          <w:lang w:val="fr-BE"/>
        </w:rPr>
        <w:tab/>
      </w:r>
    </w:p>
    <w:p w:rsidR="00582F0A" w:rsidRPr="00B26EA4" w:rsidRDefault="00193C6A" w:rsidP="00B26EA4">
      <w:pPr>
        <w:ind w:left="142"/>
        <w:jc w:val="right"/>
        <w:rPr>
          <w:bCs/>
          <w:lang w:val="fr-BE"/>
        </w:rPr>
      </w:pPr>
      <w:r>
        <w:rPr>
          <w:bCs/>
          <w:lang w:val="fr-BE"/>
        </w:rPr>
        <w:t xml:space="preserve">Réf. AO ASF - Traductions </w:t>
      </w:r>
      <w:r w:rsidR="008606AD">
        <w:rPr>
          <w:bCs/>
          <w:lang w:val="fr-BE"/>
        </w:rPr>
        <w:t>–</w:t>
      </w:r>
      <w:r>
        <w:rPr>
          <w:bCs/>
          <w:lang w:val="fr-BE"/>
        </w:rPr>
        <w:t xml:space="preserve"> 2020</w:t>
      </w:r>
      <w:r w:rsidR="007F7BAA">
        <w:rPr>
          <w:bCs/>
          <w:lang w:val="fr-BE"/>
        </w:rPr>
        <w:t>-2022</w:t>
      </w:r>
    </w:p>
    <w:p w:rsidR="00285A6B" w:rsidRPr="00B26EA4" w:rsidRDefault="00285A6B" w:rsidP="00B26EA4">
      <w:pPr>
        <w:ind w:left="142"/>
        <w:jc w:val="right"/>
        <w:rPr>
          <w:b/>
          <w:sz w:val="10"/>
          <w:szCs w:val="10"/>
          <w:lang w:val="fr-BE"/>
        </w:rPr>
      </w:pPr>
    </w:p>
    <w:p w:rsidR="00285A6B" w:rsidRPr="00B26EA4" w:rsidRDefault="00285A6B" w:rsidP="00B26EA4">
      <w:pPr>
        <w:ind w:left="142"/>
        <w:jc w:val="right"/>
        <w:rPr>
          <w:b/>
          <w:color w:val="808080" w:themeColor="background1" w:themeShade="80"/>
          <w:lang w:val="fr-BE"/>
        </w:rPr>
      </w:pPr>
      <w:r w:rsidRPr="00B26EA4">
        <w:rPr>
          <w:b/>
          <w:color w:val="808080" w:themeColor="background1" w:themeShade="80"/>
          <w:lang w:val="fr-BE"/>
        </w:rPr>
        <w:t>Français &gt; néerlandais</w:t>
      </w:r>
    </w:p>
    <w:p w:rsidR="00B3016F" w:rsidRPr="00B26EA4" w:rsidRDefault="00B3016F" w:rsidP="00B26EA4">
      <w:pPr>
        <w:ind w:left="142"/>
        <w:jc w:val="right"/>
        <w:rPr>
          <w:b/>
          <w:lang w:val="fr-BE"/>
        </w:rPr>
      </w:pPr>
    </w:p>
    <w:p w:rsidR="00E83F46" w:rsidRPr="00B26EA4" w:rsidRDefault="00E83F46" w:rsidP="00B26EA4">
      <w:pPr>
        <w:ind w:left="142"/>
        <w:jc w:val="right"/>
        <w:rPr>
          <w:b/>
          <w:lang w:val="fr-BE"/>
        </w:rPr>
      </w:pPr>
    </w:p>
    <w:p w:rsidR="007666CD" w:rsidRPr="00B26EA4" w:rsidRDefault="007666CD" w:rsidP="00B26EA4">
      <w:pPr>
        <w:ind w:left="142"/>
        <w:jc w:val="right"/>
        <w:rPr>
          <w:b/>
          <w:lang w:val="fr-BE"/>
        </w:rPr>
      </w:pPr>
    </w:p>
    <w:p w:rsidR="00582F0A" w:rsidRPr="00B26EA4" w:rsidRDefault="00582F0A" w:rsidP="00B26EA4">
      <w:pPr>
        <w:pStyle w:val="Paragraphedeliste"/>
        <w:numPr>
          <w:ilvl w:val="0"/>
          <w:numId w:val="13"/>
        </w:numPr>
        <w:rPr>
          <w:lang w:val="fr-BE"/>
        </w:rPr>
      </w:pPr>
      <w:r w:rsidRPr="00B26EA4">
        <w:rPr>
          <w:lang w:val="fr-BE"/>
        </w:rPr>
        <w:t xml:space="preserve">Type de </w:t>
      </w:r>
      <w:proofErr w:type="gramStart"/>
      <w:r w:rsidRPr="00B26EA4">
        <w:rPr>
          <w:lang w:val="fr-BE"/>
        </w:rPr>
        <w:t>marché:</w:t>
      </w:r>
      <w:proofErr w:type="gramEnd"/>
      <w:r w:rsidRPr="00B26EA4">
        <w:rPr>
          <w:lang w:val="fr-BE"/>
        </w:rPr>
        <w:t xml:space="preserve"> fourniture de services</w:t>
      </w:r>
    </w:p>
    <w:p w:rsidR="00582F0A" w:rsidRPr="00B26EA4" w:rsidRDefault="00582F0A" w:rsidP="00B26EA4">
      <w:pPr>
        <w:pStyle w:val="Paragraphedeliste"/>
        <w:numPr>
          <w:ilvl w:val="0"/>
          <w:numId w:val="13"/>
        </w:numPr>
        <w:rPr>
          <w:lang w:val="fr-BE"/>
        </w:rPr>
      </w:pPr>
      <w:proofErr w:type="gramStart"/>
      <w:r w:rsidRPr="00B26EA4">
        <w:rPr>
          <w:lang w:val="fr-BE"/>
        </w:rPr>
        <w:t>Objet:</w:t>
      </w:r>
      <w:proofErr w:type="gramEnd"/>
      <w:r w:rsidRPr="00B26EA4">
        <w:rPr>
          <w:lang w:val="fr-BE"/>
        </w:rPr>
        <w:t xml:space="preserve"> fourniture de traductions</w:t>
      </w:r>
    </w:p>
    <w:p w:rsidR="00285A6B" w:rsidRPr="00B26EA4" w:rsidRDefault="00E83F46" w:rsidP="00B26EA4">
      <w:pPr>
        <w:pStyle w:val="Paragraphedeliste"/>
        <w:numPr>
          <w:ilvl w:val="0"/>
          <w:numId w:val="13"/>
        </w:numPr>
        <w:rPr>
          <w:lang w:val="fr-BE"/>
        </w:rPr>
      </w:pPr>
      <w:r w:rsidRPr="00B26EA4">
        <w:rPr>
          <w:lang w:val="fr-BE"/>
        </w:rPr>
        <w:t xml:space="preserve">Appel </w:t>
      </w:r>
      <w:r w:rsidR="00204F7A">
        <w:rPr>
          <w:lang w:val="fr-BE"/>
        </w:rPr>
        <w:t>d'offre ouvert</w:t>
      </w:r>
      <w:r w:rsidR="00E2493D">
        <w:rPr>
          <w:lang w:val="fr-BE"/>
        </w:rPr>
        <w:t xml:space="preserve"> (agences et traducteurs indépendants)</w:t>
      </w:r>
    </w:p>
    <w:p w:rsidR="00285A6B" w:rsidRPr="00B26EA4" w:rsidRDefault="00285A6B" w:rsidP="00B26EA4">
      <w:pPr>
        <w:pStyle w:val="Paragraphedeliste"/>
        <w:numPr>
          <w:ilvl w:val="0"/>
          <w:numId w:val="13"/>
        </w:numPr>
        <w:rPr>
          <w:lang w:val="fr-BE"/>
        </w:rPr>
      </w:pPr>
      <w:r w:rsidRPr="00B26EA4">
        <w:rPr>
          <w:lang w:val="fr-BE"/>
        </w:rPr>
        <w:t>Référenc</w:t>
      </w:r>
      <w:r w:rsidR="00F41850" w:rsidRPr="00B26EA4">
        <w:rPr>
          <w:lang w:val="fr-BE"/>
        </w:rPr>
        <w:t xml:space="preserve">e </w:t>
      </w:r>
      <w:proofErr w:type="gramStart"/>
      <w:r w:rsidR="00F41850" w:rsidRPr="00B26EA4">
        <w:rPr>
          <w:lang w:val="fr-BE"/>
        </w:rPr>
        <w:t>ASF:</w:t>
      </w:r>
      <w:proofErr w:type="gramEnd"/>
      <w:r w:rsidR="00F41850" w:rsidRPr="00B26EA4">
        <w:rPr>
          <w:lang w:val="fr-BE"/>
        </w:rPr>
        <w:t xml:space="preserve"> AO ASF - Traductions </w:t>
      </w:r>
      <w:r w:rsidR="008606AD">
        <w:rPr>
          <w:lang w:val="fr-BE"/>
        </w:rPr>
        <w:t>–</w:t>
      </w:r>
      <w:r w:rsidR="00F41850" w:rsidRPr="00B26EA4">
        <w:rPr>
          <w:lang w:val="fr-BE"/>
        </w:rPr>
        <w:t xml:space="preserve"> </w:t>
      </w:r>
      <w:r w:rsidR="007B0FFE">
        <w:rPr>
          <w:lang w:val="fr-BE"/>
        </w:rPr>
        <w:t>2020</w:t>
      </w:r>
      <w:r w:rsidR="007F7BAA">
        <w:rPr>
          <w:lang w:val="fr-BE"/>
        </w:rPr>
        <w:t>-2022</w:t>
      </w:r>
    </w:p>
    <w:p w:rsidR="00E14EB4" w:rsidRPr="00B26EA4" w:rsidRDefault="00146CCE" w:rsidP="00B26EA4">
      <w:pPr>
        <w:pStyle w:val="Paragraphedeliste"/>
        <w:numPr>
          <w:ilvl w:val="0"/>
          <w:numId w:val="13"/>
        </w:numPr>
        <w:rPr>
          <w:lang w:val="fr-BE"/>
        </w:rPr>
      </w:pPr>
      <w:r w:rsidRPr="00B26EA4">
        <w:rPr>
          <w:lang w:val="fr-BE"/>
        </w:rPr>
        <w:t>Date du lancement de l'appel d'offre</w:t>
      </w:r>
      <w:r w:rsidR="003A115D">
        <w:rPr>
          <w:lang w:val="fr-BE"/>
        </w:rPr>
        <w:t xml:space="preserve"> </w:t>
      </w:r>
      <w:r w:rsidRPr="00B26EA4">
        <w:rPr>
          <w:lang w:val="fr-BE"/>
        </w:rPr>
        <w:t xml:space="preserve">: </w:t>
      </w:r>
      <w:r w:rsidR="007F7BAA">
        <w:rPr>
          <w:lang w:val="fr-BE"/>
        </w:rPr>
        <w:t>16 juin</w:t>
      </w:r>
      <w:r w:rsidR="00FE40BB">
        <w:rPr>
          <w:lang w:val="fr-BE"/>
        </w:rPr>
        <w:t xml:space="preserve"> 2020</w:t>
      </w:r>
    </w:p>
    <w:p w:rsidR="00582F0A" w:rsidRPr="00B26EA4" w:rsidRDefault="00582F0A" w:rsidP="00B26EA4">
      <w:pPr>
        <w:pStyle w:val="Paragraphedeliste"/>
        <w:numPr>
          <w:ilvl w:val="0"/>
          <w:numId w:val="13"/>
        </w:numPr>
        <w:rPr>
          <w:lang w:val="fr-BE"/>
        </w:rPr>
      </w:pPr>
      <w:r w:rsidRPr="00B26EA4">
        <w:rPr>
          <w:lang w:val="fr-BE"/>
        </w:rPr>
        <w:t>Date limite des demandes de renseignements</w:t>
      </w:r>
      <w:r w:rsidR="003A115D">
        <w:rPr>
          <w:lang w:val="fr-BE"/>
        </w:rPr>
        <w:t xml:space="preserve"> </w:t>
      </w:r>
      <w:r w:rsidRPr="00B26EA4">
        <w:rPr>
          <w:lang w:val="fr-BE"/>
        </w:rPr>
        <w:t xml:space="preserve">: </w:t>
      </w:r>
      <w:r w:rsidR="007F7BAA">
        <w:rPr>
          <w:lang w:val="fr-BE"/>
        </w:rPr>
        <w:t>13 juillet</w:t>
      </w:r>
      <w:r w:rsidR="00FE40BB">
        <w:rPr>
          <w:lang w:val="fr-BE"/>
        </w:rPr>
        <w:t xml:space="preserve"> 2020</w:t>
      </w:r>
    </w:p>
    <w:p w:rsidR="00146CCE" w:rsidRPr="00B26EA4" w:rsidRDefault="00146CCE" w:rsidP="00B26EA4">
      <w:pPr>
        <w:pStyle w:val="Paragraphedeliste"/>
        <w:numPr>
          <w:ilvl w:val="0"/>
          <w:numId w:val="13"/>
        </w:numPr>
        <w:rPr>
          <w:b/>
          <w:lang w:val="fr-BE"/>
        </w:rPr>
      </w:pPr>
      <w:r w:rsidRPr="00B26EA4">
        <w:rPr>
          <w:lang w:val="fr-BE"/>
        </w:rPr>
        <w:t>Date li</w:t>
      </w:r>
      <w:r w:rsidR="00F41850" w:rsidRPr="00B26EA4">
        <w:rPr>
          <w:lang w:val="fr-BE"/>
        </w:rPr>
        <w:t>mite de réception des offres</w:t>
      </w:r>
      <w:r w:rsidR="00161C84">
        <w:rPr>
          <w:lang w:val="fr-BE"/>
        </w:rPr>
        <w:t xml:space="preserve"> (y compris du test)</w:t>
      </w:r>
      <w:r w:rsidR="003A115D">
        <w:rPr>
          <w:lang w:val="fr-BE"/>
        </w:rPr>
        <w:t xml:space="preserve"> </w:t>
      </w:r>
      <w:r w:rsidR="00F41850" w:rsidRPr="00B26EA4">
        <w:rPr>
          <w:lang w:val="fr-BE"/>
        </w:rPr>
        <w:t xml:space="preserve">: </w:t>
      </w:r>
      <w:r w:rsidR="007F7BAA">
        <w:rPr>
          <w:lang w:val="fr-BE"/>
        </w:rPr>
        <w:t>16 juillet</w:t>
      </w:r>
      <w:r w:rsidR="00FE40BB">
        <w:rPr>
          <w:lang w:val="fr-BE"/>
        </w:rPr>
        <w:t xml:space="preserve"> 2020</w:t>
      </w:r>
    </w:p>
    <w:p w:rsidR="00582F0A" w:rsidRPr="007F7BAA" w:rsidRDefault="00582F0A" w:rsidP="007F7BAA">
      <w:pPr>
        <w:ind w:left="502"/>
        <w:rPr>
          <w:lang w:val="fr-BE"/>
        </w:rPr>
      </w:pPr>
    </w:p>
    <w:p w:rsidR="005F27A3" w:rsidRPr="00B26EA4" w:rsidRDefault="005F27A3" w:rsidP="00B26EA4">
      <w:pPr>
        <w:ind w:left="142"/>
        <w:rPr>
          <w:lang w:val="fr-BE"/>
        </w:rPr>
      </w:pPr>
      <w:bookmarkStart w:id="0" w:name="_GoBack"/>
      <w:bookmarkEnd w:id="0"/>
    </w:p>
    <w:p w:rsidR="00926E7C" w:rsidRPr="00B26EA4" w:rsidRDefault="00B26EA4" w:rsidP="00B26EA4">
      <w:pPr>
        <w:jc w:val="both"/>
        <w:rPr>
          <w:b/>
          <w:color w:val="000000"/>
          <w:u w:val="single"/>
          <w:lang w:val="fr-BE"/>
        </w:rPr>
      </w:pPr>
      <w:r>
        <w:rPr>
          <w:b/>
          <w:color w:val="000000"/>
          <w:u w:val="single"/>
          <w:lang w:val="fr-BE"/>
        </w:rPr>
        <w:t xml:space="preserve">1. </w:t>
      </w:r>
      <w:r w:rsidR="00926E7C" w:rsidRPr="00B26EA4">
        <w:rPr>
          <w:b/>
          <w:color w:val="000000"/>
          <w:u w:val="single"/>
          <w:lang w:val="fr-BE"/>
        </w:rPr>
        <w:t>Contexte</w:t>
      </w:r>
    </w:p>
    <w:p w:rsidR="00926E7C" w:rsidRPr="00B26EA4" w:rsidRDefault="00926E7C" w:rsidP="00B26EA4">
      <w:pPr>
        <w:jc w:val="both"/>
        <w:rPr>
          <w:color w:val="000000"/>
          <w:lang w:val="fr-BE"/>
        </w:rPr>
      </w:pPr>
    </w:p>
    <w:p w:rsidR="00F41850" w:rsidRPr="00B26EA4" w:rsidRDefault="00F41850" w:rsidP="00B26EA4">
      <w:pPr>
        <w:jc w:val="both"/>
        <w:rPr>
          <w:bCs/>
          <w:lang w:val="fr-BE"/>
        </w:rPr>
      </w:pPr>
      <w:r w:rsidRPr="00B26EA4">
        <w:rPr>
          <w:bCs/>
          <w:lang w:val="fr-BE"/>
        </w:rPr>
        <w:t>Créée en 1992, Avocats Sans Frontières (ASF) est une ONG internationale spécialisée dans la défense des droits humains et le soutien à la justice. ASF a son siège en Belgique et est active dans plusieurs pays en s</w:t>
      </w:r>
      <w:r w:rsidR="007B0FFE">
        <w:rPr>
          <w:bCs/>
          <w:lang w:val="fr-BE"/>
        </w:rPr>
        <w:t>ituation de fragilité (Indonésie, Maroc</w:t>
      </w:r>
      <w:r w:rsidRPr="00B26EA4">
        <w:rPr>
          <w:bCs/>
          <w:lang w:val="fr-BE"/>
        </w:rPr>
        <w:t>, Ouganda, République centrafricaine, RD</w:t>
      </w:r>
      <w:r w:rsidR="007B0FFE">
        <w:rPr>
          <w:bCs/>
          <w:lang w:val="fr-BE"/>
        </w:rPr>
        <w:t xml:space="preserve"> Congo, Tchad et Tunisie</w:t>
      </w:r>
      <w:r w:rsidRPr="00B26EA4">
        <w:rPr>
          <w:bCs/>
          <w:lang w:val="fr-BE"/>
        </w:rPr>
        <w:t>).</w:t>
      </w:r>
    </w:p>
    <w:p w:rsidR="00F41850" w:rsidRPr="00B26EA4" w:rsidRDefault="00F41850" w:rsidP="00B26EA4">
      <w:pPr>
        <w:jc w:val="both"/>
        <w:rPr>
          <w:lang w:val="fr-BE"/>
        </w:rPr>
      </w:pPr>
    </w:p>
    <w:p w:rsidR="0033363B" w:rsidRPr="00B26EA4" w:rsidRDefault="00AA4664" w:rsidP="00B26EA4">
      <w:pPr>
        <w:jc w:val="both"/>
        <w:rPr>
          <w:color w:val="000000"/>
          <w:lang w:val="fr-BE"/>
        </w:rPr>
      </w:pPr>
      <w:r w:rsidRPr="00B26EA4">
        <w:rPr>
          <w:color w:val="000000"/>
          <w:lang w:val="fr-BE"/>
        </w:rPr>
        <w:t>Nous souhaitons</w:t>
      </w:r>
      <w:r w:rsidR="008606AD">
        <w:rPr>
          <w:color w:val="000000"/>
          <w:lang w:val="fr-BE"/>
        </w:rPr>
        <w:t xml:space="preserve"> établir une convention pour les années 2020 et 2021</w:t>
      </w:r>
      <w:r w:rsidRPr="00B26EA4">
        <w:rPr>
          <w:color w:val="000000"/>
          <w:lang w:val="fr-BE"/>
        </w:rPr>
        <w:t xml:space="preserve"> avec des traducteurs</w:t>
      </w:r>
      <w:r w:rsidR="006D0C35">
        <w:rPr>
          <w:color w:val="000000"/>
          <w:lang w:val="fr-BE"/>
        </w:rPr>
        <w:t xml:space="preserve"> (freelances ou agence)</w:t>
      </w:r>
      <w:r w:rsidRPr="00B26EA4">
        <w:rPr>
          <w:color w:val="000000"/>
          <w:lang w:val="fr-BE"/>
        </w:rPr>
        <w:t xml:space="preserve">, à qui nous pourrions confier systématiquement les travaux de traduction </w:t>
      </w:r>
      <w:r w:rsidR="0033363B" w:rsidRPr="00B26EA4">
        <w:rPr>
          <w:color w:val="000000"/>
          <w:lang w:val="fr-BE"/>
        </w:rPr>
        <w:t>gérés à partir du siège d'ASF (certains travaux étant réalisés depuis nos pays d'intervention via des fournisseurs locaux), pour lesquels nous avons un budget disponible (certaines traductions, en particulier celles de documents à usage interne, étant confiées à des bénévoles).</w:t>
      </w:r>
    </w:p>
    <w:p w:rsidR="0033363B" w:rsidRPr="00B26EA4" w:rsidRDefault="0033363B" w:rsidP="00B26EA4">
      <w:pPr>
        <w:jc w:val="both"/>
        <w:rPr>
          <w:color w:val="000000"/>
          <w:lang w:val="fr-BE"/>
        </w:rPr>
      </w:pPr>
    </w:p>
    <w:p w:rsidR="00AA4664" w:rsidRPr="00B26EA4" w:rsidRDefault="00AA4664" w:rsidP="00B26EA4">
      <w:pPr>
        <w:jc w:val="both"/>
        <w:rPr>
          <w:lang w:val="fr-BE"/>
        </w:rPr>
      </w:pPr>
      <w:r w:rsidRPr="00B26EA4">
        <w:rPr>
          <w:lang w:val="fr-BE"/>
        </w:rPr>
        <w:t>Il s’agit principalement</w:t>
      </w:r>
      <w:r w:rsidR="00633759" w:rsidRPr="00B26EA4">
        <w:rPr>
          <w:lang w:val="fr-BE"/>
        </w:rPr>
        <w:t xml:space="preserve"> mais non exclusivement</w:t>
      </w:r>
      <w:r w:rsidR="00874D97">
        <w:rPr>
          <w:lang w:val="fr-BE"/>
        </w:rPr>
        <w:t xml:space="preserve"> </w:t>
      </w:r>
      <w:r w:rsidRPr="00B26EA4">
        <w:rPr>
          <w:lang w:val="fr-BE"/>
        </w:rPr>
        <w:t>:</w:t>
      </w:r>
    </w:p>
    <w:p w:rsidR="00F41850" w:rsidRPr="00B26EA4" w:rsidRDefault="00F41850" w:rsidP="00B26EA4">
      <w:pPr>
        <w:pStyle w:val="Paragraphedeliste"/>
        <w:numPr>
          <w:ilvl w:val="0"/>
          <w:numId w:val="16"/>
        </w:numPr>
        <w:jc w:val="both"/>
        <w:rPr>
          <w:lang w:val="fr-BE"/>
        </w:rPr>
      </w:pPr>
      <w:r w:rsidRPr="00B26EA4">
        <w:rPr>
          <w:lang w:val="fr-BE"/>
        </w:rPr>
        <w:t xml:space="preserve">De notre </w:t>
      </w:r>
      <w:hyperlink r:id="rId8" w:history="1">
        <w:r w:rsidRPr="00B26EA4">
          <w:rPr>
            <w:rStyle w:val="Lienhypertexte"/>
            <w:lang w:val="fr-BE"/>
          </w:rPr>
          <w:t>rapp</w:t>
        </w:r>
        <w:r w:rsidR="0033363B" w:rsidRPr="00B26EA4">
          <w:rPr>
            <w:rStyle w:val="Lienhypertexte"/>
            <w:lang w:val="fr-BE"/>
          </w:rPr>
          <w:t>ort d’activités annuel</w:t>
        </w:r>
      </w:hyperlink>
      <w:r w:rsidR="0033363B" w:rsidRPr="00B26EA4">
        <w:rPr>
          <w:lang w:val="fr-BE"/>
        </w:rPr>
        <w:t>.</w:t>
      </w:r>
    </w:p>
    <w:p w:rsidR="00AA4664" w:rsidRPr="00B26EA4" w:rsidRDefault="00AA4664" w:rsidP="00B26EA4">
      <w:pPr>
        <w:pStyle w:val="Paragraphedeliste"/>
        <w:numPr>
          <w:ilvl w:val="0"/>
          <w:numId w:val="16"/>
        </w:numPr>
        <w:jc w:val="both"/>
        <w:rPr>
          <w:lang w:val="fr-BE"/>
        </w:rPr>
      </w:pPr>
      <w:r w:rsidRPr="00B26EA4">
        <w:rPr>
          <w:lang w:val="fr-BE"/>
        </w:rPr>
        <w:t>De "</w:t>
      </w:r>
      <w:hyperlink r:id="rId9" w:history="1">
        <w:r w:rsidRPr="00B26EA4">
          <w:rPr>
            <w:rStyle w:val="Lienhypertexte"/>
            <w:lang w:val="fr-BE"/>
          </w:rPr>
          <w:t xml:space="preserve">webstories" (news) publiées sur </w:t>
        </w:r>
        <w:r w:rsidR="0033363B" w:rsidRPr="00B26EA4">
          <w:rPr>
            <w:rStyle w:val="Lienhypertexte"/>
            <w:lang w:val="fr-BE"/>
          </w:rPr>
          <w:t>le</w:t>
        </w:r>
        <w:r w:rsidRPr="00B26EA4">
          <w:rPr>
            <w:rStyle w:val="Lienhypertexte"/>
            <w:lang w:val="fr-BE"/>
          </w:rPr>
          <w:t xml:space="preserve"> site internet</w:t>
        </w:r>
      </w:hyperlink>
      <w:r w:rsidRPr="00B26EA4">
        <w:rPr>
          <w:lang w:val="fr-BE"/>
        </w:rPr>
        <w:t xml:space="preserve"> www.asf.be.</w:t>
      </w:r>
    </w:p>
    <w:p w:rsidR="007B0FFE" w:rsidRPr="007B0FFE" w:rsidRDefault="0033363B" w:rsidP="007B0FFE">
      <w:pPr>
        <w:pStyle w:val="Paragraphedeliste"/>
        <w:numPr>
          <w:ilvl w:val="0"/>
          <w:numId w:val="16"/>
        </w:numPr>
        <w:jc w:val="both"/>
        <w:rPr>
          <w:lang w:val="fr-BE"/>
        </w:rPr>
      </w:pPr>
      <w:r w:rsidRPr="00B26EA4">
        <w:rPr>
          <w:lang w:val="fr-BE"/>
        </w:rPr>
        <w:t>De courriers de recherches de fonds destinés à nos membres et donateurs.</w:t>
      </w:r>
    </w:p>
    <w:p w:rsidR="0033363B" w:rsidRPr="00B26EA4" w:rsidRDefault="0033363B" w:rsidP="00B26EA4">
      <w:pPr>
        <w:pStyle w:val="Paragraphedeliste"/>
        <w:numPr>
          <w:ilvl w:val="0"/>
          <w:numId w:val="16"/>
        </w:numPr>
        <w:jc w:val="both"/>
        <w:rPr>
          <w:lang w:val="fr-BE"/>
        </w:rPr>
      </w:pPr>
      <w:r w:rsidRPr="00B26EA4">
        <w:rPr>
          <w:lang w:val="fr-BE"/>
        </w:rPr>
        <w:t xml:space="preserve">De </w:t>
      </w:r>
      <w:hyperlink r:id="rId10" w:history="1">
        <w:r w:rsidRPr="00B26EA4">
          <w:rPr>
            <w:rStyle w:val="Lienhypertexte"/>
            <w:lang w:val="fr-BE"/>
          </w:rPr>
          <w:t>plaquettes consacrées à nos différentes thématiques</w:t>
        </w:r>
      </w:hyperlink>
      <w:r w:rsidRPr="00B26EA4">
        <w:rPr>
          <w:lang w:val="fr-BE"/>
        </w:rPr>
        <w:t xml:space="preserve"> et pays d’intervention.</w:t>
      </w:r>
    </w:p>
    <w:p w:rsidR="00AA4664" w:rsidRPr="00B26EA4" w:rsidRDefault="00AA4664" w:rsidP="00B26EA4">
      <w:pPr>
        <w:pStyle w:val="Paragraphedeliste"/>
        <w:numPr>
          <w:ilvl w:val="0"/>
          <w:numId w:val="16"/>
        </w:numPr>
        <w:jc w:val="both"/>
        <w:rPr>
          <w:lang w:val="fr-BE"/>
        </w:rPr>
      </w:pPr>
      <w:r w:rsidRPr="00B26EA4">
        <w:rPr>
          <w:lang w:val="fr-BE"/>
        </w:rPr>
        <w:t xml:space="preserve">De </w:t>
      </w:r>
      <w:hyperlink r:id="rId11" w:history="1">
        <w:r w:rsidRPr="00B26EA4">
          <w:rPr>
            <w:rStyle w:val="Lienhypertexte"/>
            <w:lang w:val="fr-BE"/>
          </w:rPr>
          <w:t>communiqués de presse</w:t>
        </w:r>
      </w:hyperlink>
      <w:r w:rsidRPr="00B26EA4">
        <w:rPr>
          <w:lang w:val="fr-BE"/>
        </w:rPr>
        <w:t>.</w:t>
      </w:r>
    </w:p>
    <w:p w:rsidR="0033363B" w:rsidRPr="00B26EA4" w:rsidRDefault="0033363B" w:rsidP="00B26EA4">
      <w:pPr>
        <w:pStyle w:val="Paragraphedeliste"/>
        <w:numPr>
          <w:ilvl w:val="0"/>
          <w:numId w:val="16"/>
        </w:numPr>
        <w:jc w:val="both"/>
        <w:rPr>
          <w:lang w:val="fr-BE"/>
        </w:rPr>
      </w:pPr>
      <w:r w:rsidRPr="00B26EA4">
        <w:rPr>
          <w:lang w:val="fr-BE"/>
        </w:rPr>
        <w:t>D</w:t>
      </w:r>
      <w:r w:rsidR="00AA4664" w:rsidRPr="00B26EA4">
        <w:rPr>
          <w:lang w:val="fr-BE"/>
        </w:rPr>
        <w:t>e documents destinés à nos bailleurs de fonds</w:t>
      </w:r>
      <w:r w:rsidRPr="00B26EA4">
        <w:rPr>
          <w:lang w:val="fr-BE"/>
        </w:rPr>
        <w:t xml:space="preserve"> (rapports de projets, propositions de projets...).</w:t>
      </w:r>
    </w:p>
    <w:p w:rsidR="00AA4664" w:rsidRPr="00B26EA4" w:rsidRDefault="00AA4664" w:rsidP="00B26EA4">
      <w:pPr>
        <w:jc w:val="both"/>
        <w:rPr>
          <w:lang w:val="fr-BE"/>
        </w:rPr>
      </w:pPr>
    </w:p>
    <w:p w:rsidR="00E83F46" w:rsidRPr="00B26EA4" w:rsidRDefault="00E83F46" w:rsidP="00B26EA4">
      <w:pPr>
        <w:jc w:val="both"/>
        <w:rPr>
          <w:lang w:val="fr-BE"/>
        </w:rPr>
      </w:pPr>
      <w:r w:rsidRPr="00B26EA4">
        <w:rPr>
          <w:lang w:val="fr-BE"/>
        </w:rPr>
        <w:t>La plupart de ces documents sont destinés à la communication vers l’extérieur. Le vocabulaire utilisé y est assez général, même s’ils reprennent évidemment des termes liés à no</w:t>
      </w:r>
      <w:r w:rsidR="00AA4664" w:rsidRPr="00B26EA4">
        <w:rPr>
          <w:lang w:val="fr-BE"/>
        </w:rPr>
        <w:t xml:space="preserve">s thématiques </w:t>
      </w:r>
      <w:r w:rsidRPr="00B26EA4">
        <w:rPr>
          <w:lang w:val="fr-BE"/>
        </w:rPr>
        <w:t>d’intervention spécifique</w:t>
      </w:r>
      <w:r w:rsidR="00AA4664" w:rsidRPr="00B26EA4">
        <w:rPr>
          <w:lang w:val="fr-BE"/>
        </w:rPr>
        <w:t xml:space="preserve">s (accès à la justice, </w:t>
      </w:r>
      <w:r w:rsidR="00F843BB" w:rsidRPr="00B26EA4">
        <w:rPr>
          <w:lang w:val="fr-BE"/>
        </w:rPr>
        <w:t xml:space="preserve">lutte contre l'impunité, </w:t>
      </w:r>
      <w:r w:rsidR="00AA4664" w:rsidRPr="00B26EA4">
        <w:rPr>
          <w:lang w:val="fr-BE"/>
        </w:rPr>
        <w:t>droits humains, justice internationale, liberté d'expression...)</w:t>
      </w:r>
      <w:r w:rsidRPr="00B26EA4">
        <w:rPr>
          <w:lang w:val="fr-BE"/>
        </w:rPr>
        <w:t xml:space="preserve"> et des expressions typiques de notre organisation. Les documents de projet peuvent présenter un contenu juridique plus technique.</w:t>
      </w:r>
    </w:p>
    <w:p w:rsidR="00E83F46" w:rsidRPr="00B26EA4" w:rsidRDefault="00E83F46" w:rsidP="00B26EA4">
      <w:pPr>
        <w:jc w:val="both"/>
        <w:rPr>
          <w:lang w:val="fr-BE"/>
        </w:rPr>
      </w:pPr>
    </w:p>
    <w:p w:rsidR="00E83F46" w:rsidRPr="00B26EA4" w:rsidRDefault="00E83F46" w:rsidP="00B26EA4">
      <w:pPr>
        <w:jc w:val="both"/>
        <w:rPr>
          <w:lang w:val="fr-BE"/>
        </w:rPr>
      </w:pPr>
      <w:r w:rsidRPr="00B26EA4">
        <w:rPr>
          <w:lang w:val="fr-BE"/>
        </w:rPr>
        <w:t xml:space="preserve">Le niveau d’urgence </w:t>
      </w:r>
      <w:r w:rsidR="00AA4664" w:rsidRPr="00B26EA4">
        <w:rPr>
          <w:lang w:val="fr-BE"/>
        </w:rPr>
        <w:t xml:space="preserve">et la longueur des textes </w:t>
      </w:r>
      <w:r w:rsidR="007B0FFE">
        <w:rPr>
          <w:lang w:val="fr-BE"/>
        </w:rPr>
        <w:t>sont variables d’un texte à l’autre.</w:t>
      </w:r>
    </w:p>
    <w:p w:rsidR="00E83F46" w:rsidRPr="00B26EA4" w:rsidRDefault="00E83F46" w:rsidP="00B26EA4">
      <w:pPr>
        <w:jc w:val="both"/>
        <w:rPr>
          <w:lang w:val="fr-BE"/>
        </w:rPr>
      </w:pPr>
    </w:p>
    <w:p w:rsidR="00AA4664" w:rsidRPr="00B26EA4" w:rsidRDefault="00AA4664" w:rsidP="00B26EA4">
      <w:pPr>
        <w:jc w:val="both"/>
        <w:rPr>
          <w:lang w:val="fr-BE"/>
        </w:rPr>
      </w:pPr>
      <w:r w:rsidRPr="00B26EA4">
        <w:rPr>
          <w:lang w:val="fr-BE"/>
        </w:rPr>
        <w:t>Les principales langues de travail de l'organisation sont le français</w:t>
      </w:r>
      <w:r w:rsidR="00F843BB" w:rsidRPr="00B26EA4">
        <w:rPr>
          <w:lang w:val="fr-BE"/>
        </w:rPr>
        <w:t xml:space="preserve"> et</w:t>
      </w:r>
      <w:r w:rsidRPr="00B26EA4">
        <w:rPr>
          <w:lang w:val="fr-BE"/>
        </w:rPr>
        <w:t xml:space="preserve"> l'anglais, </w:t>
      </w:r>
      <w:r w:rsidR="007666CD" w:rsidRPr="00B26EA4">
        <w:rPr>
          <w:lang w:val="fr-BE"/>
        </w:rPr>
        <w:t>et dans une moindre mesure l</w:t>
      </w:r>
      <w:r w:rsidRPr="00B26EA4">
        <w:rPr>
          <w:lang w:val="fr-BE"/>
        </w:rPr>
        <w:t>e néerlandais.</w:t>
      </w:r>
    </w:p>
    <w:p w:rsidR="004D4346" w:rsidRPr="00B26EA4" w:rsidRDefault="004D4346" w:rsidP="00B26EA4">
      <w:pPr>
        <w:jc w:val="both"/>
        <w:rPr>
          <w:lang w:val="fr-BE"/>
        </w:rPr>
        <w:sectPr w:rsidR="004D4346" w:rsidRPr="00B26EA4" w:rsidSect="00F44F63">
          <w:footerReference w:type="default" r:id="rId12"/>
          <w:headerReference w:type="first" r:id="rId13"/>
          <w:footerReference w:type="first" r:id="rId14"/>
          <w:pgSz w:w="11907" w:h="16840" w:code="9"/>
          <w:pgMar w:top="1134" w:right="1134" w:bottom="2269" w:left="1134" w:header="720" w:footer="627" w:gutter="0"/>
          <w:cols w:space="720"/>
          <w:titlePg/>
          <w:docGrid w:linePitch="272"/>
        </w:sectPr>
      </w:pPr>
    </w:p>
    <w:p w:rsidR="00AA4664" w:rsidRPr="00B26EA4" w:rsidRDefault="00AA4664" w:rsidP="00B26EA4">
      <w:pPr>
        <w:jc w:val="both"/>
        <w:rPr>
          <w:lang w:val="fr-BE"/>
        </w:rPr>
      </w:pPr>
    </w:p>
    <w:p w:rsidR="00AA4664" w:rsidRPr="00B26EA4" w:rsidRDefault="00B26EA4" w:rsidP="00227091">
      <w:pPr>
        <w:jc w:val="both"/>
        <w:rPr>
          <w:b/>
          <w:u w:val="single"/>
          <w:lang w:val="fr-BE"/>
        </w:rPr>
      </w:pPr>
      <w:r>
        <w:rPr>
          <w:b/>
          <w:u w:val="single"/>
          <w:lang w:val="fr-BE"/>
        </w:rPr>
        <w:t xml:space="preserve">2. </w:t>
      </w:r>
      <w:r w:rsidR="00AA4664" w:rsidRPr="00B26EA4">
        <w:rPr>
          <w:b/>
          <w:u w:val="single"/>
          <w:lang w:val="fr-BE"/>
        </w:rPr>
        <w:t>Pour la</w:t>
      </w:r>
      <w:r w:rsidR="00227091">
        <w:rPr>
          <w:b/>
          <w:u w:val="single"/>
          <w:lang w:val="fr-BE"/>
        </w:rPr>
        <w:t xml:space="preserve"> fourniture de </w:t>
      </w:r>
      <w:r w:rsidR="007B0FFE">
        <w:rPr>
          <w:b/>
          <w:u w:val="single"/>
          <w:lang w:val="fr-BE"/>
        </w:rPr>
        <w:t>services de traduction (</w:t>
      </w:r>
      <w:r w:rsidR="00227091">
        <w:rPr>
          <w:b/>
          <w:u w:val="single"/>
          <w:lang w:val="fr-BE"/>
        </w:rPr>
        <w:t>FR &gt; NL)</w:t>
      </w:r>
    </w:p>
    <w:p w:rsidR="00AA4664" w:rsidRPr="00B26EA4" w:rsidRDefault="00AA4664" w:rsidP="00B26EA4">
      <w:pPr>
        <w:jc w:val="both"/>
        <w:rPr>
          <w:color w:val="000000"/>
          <w:lang w:val="fr-BE"/>
        </w:rPr>
      </w:pPr>
    </w:p>
    <w:p w:rsidR="00633759" w:rsidRPr="00B26EA4" w:rsidRDefault="00AA4664" w:rsidP="00B26EA4">
      <w:pPr>
        <w:jc w:val="both"/>
        <w:rPr>
          <w:lang w:val="fr-BE"/>
        </w:rPr>
      </w:pPr>
      <w:r w:rsidRPr="00B26EA4">
        <w:rPr>
          <w:lang w:val="fr-BE"/>
        </w:rPr>
        <w:t>Vous trouverez ci-dessous une estimation de nos besoins annuels</w:t>
      </w:r>
      <w:r w:rsidR="008606AD">
        <w:rPr>
          <w:lang w:val="fr-BE"/>
        </w:rPr>
        <w:t xml:space="preserve">. </w:t>
      </w:r>
      <w:r w:rsidR="007666CD" w:rsidRPr="00B26EA4">
        <w:rPr>
          <w:lang w:val="fr-BE"/>
        </w:rPr>
        <w:t>Le volume réel peut cependant varier</w:t>
      </w:r>
      <w:r w:rsidR="00227091">
        <w:rPr>
          <w:lang w:val="fr-BE"/>
        </w:rPr>
        <w:t>,</w:t>
      </w:r>
      <w:r w:rsidR="007666CD" w:rsidRPr="00B26EA4">
        <w:rPr>
          <w:lang w:val="fr-BE"/>
        </w:rPr>
        <w:t xml:space="preserve"> à la baisse comme à la hausse.</w:t>
      </w:r>
    </w:p>
    <w:p w:rsidR="00227091" w:rsidRDefault="00227091" w:rsidP="00B26EA4">
      <w:pPr>
        <w:jc w:val="both"/>
        <w:rPr>
          <w:lang w:val="fr-BE"/>
        </w:rPr>
      </w:pPr>
    </w:p>
    <w:p w:rsidR="00633759" w:rsidRPr="00B26EA4" w:rsidRDefault="00633759" w:rsidP="00227091">
      <w:pPr>
        <w:jc w:val="both"/>
        <w:rPr>
          <w:rFonts w:cs="Arial"/>
          <w:lang w:val="fr-BE"/>
        </w:rPr>
      </w:pPr>
      <w:r w:rsidRPr="00B26EA4">
        <w:rPr>
          <w:lang w:val="fr-BE"/>
        </w:rPr>
        <w:t xml:space="preserve">Le volume de traductions concerné est </w:t>
      </w:r>
      <w:r w:rsidR="007666CD" w:rsidRPr="00B26EA4">
        <w:rPr>
          <w:lang w:val="fr-BE"/>
        </w:rPr>
        <w:t xml:space="preserve">donc </w:t>
      </w:r>
      <w:r w:rsidRPr="00B26EA4">
        <w:rPr>
          <w:lang w:val="fr-BE"/>
        </w:rPr>
        <w:t xml:space="preserve">indiqué ici sur base purement indicative et n'engage pas </w:t>
      </w:r>
      <w:r w:rsidR="007666CD" w:rsidRPr="00B26EA4">
        <w:rPr>
          <w:lang w:val="fr-BE"/>
        </w:rPr>
        <w:t>ASF</w:t>
      </w:r>
      <w:r w:rsidRPr="00B26EA4">
        <w:rPr>
          <w:lang w:val="fr-BE"/>
        </w:rPr>
        <w:t>, qui se réserve par ailleurs le droit de faire appel à d'autres fournisseurs penda</w:t>
      </w:r>
      <w:r w:rsidR="008606AD">
        <w:rPr>
          <w:lang w:val="fr-BE"/>
        </w:rPr>
        <w:t>nt la durée de la convention</w:t>
      </w:r>
      <w:r w:rsidRPr="00B26EA4">
        <w:rPr>
          <w:lang w:val="fr-BE"/>
        </w:rPr>
        <w:t xml:space="preserve">. </w:t>
      </w:r>
    </w:p>
    <w:p w:rsidR="004D4346" w:rsidRDefault="004D4346" w:rsidP="00B26EA4">
      <w:pPr>
        <w:jc w:val="both"/>
        <w:rPr>
          <w:color w:val="000000"/>
          <w:lang w:val="fr-BE"/>
        </w:rPr>
      </w:pPr>
    </w:p>
    <w:tbl>
      <w:tblPr>
        <w:tblW w:w="101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  <w:gridCol w:w="2740"/>
        <w:gridCol w:w="849"/>
        <w:gridCol w:w="1400"/>
        <w:gridCol w:w="1760"/>
      </w:tblGrid>
      <w:tr w:rsidR="007B0FFE" w:rsidRPr="00FB5074" w:rsidTr="007B0FFE">
        <w:trPr>
          <w:trHeight w:val="1035"/>
          <w:jc w:val="center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FFE" w:rsidRPr="00227091" w:rsidRDefault="007B0FFE" w:rsidP="00227091">
            <w:pPr>
              <w:jc w:val="center"/>
              <w:rPr>
                <w:rFonts w:cs="Times New Roman"/>
                <w:b/>
                <w:bCs/>
                <w:color w:val="000000"/>
                <w:lang w:val="fr-BE" w:eastAsia="fr-BE"/>
              </w:rPr>
            </w:pPr>
            <w:r>
              <w:rPr>
                <w:rFonts w:cs="Times New Roman"/>
                <w:b/>
                <w:bCs/>
                <w:color w:val="000000"/>
                <w:lang w:val="fr-BE" w:eastAsia="fr-BE"/>
              </w:rPr>
              <w:t>2020</w:t>
            </w:r>
            <w:r w:rsidRPr="00227091">
              <w:rPr>
                <w:rFonts w:cs="Times New Roman"/>
                <w:b/>
                <w:bCs/>
                <w:color w:val="000000"/>
                <w:lang w:val="fr-BE" w:eastAsia="fr-BE"/>
              </w:rPr>
              <w:t xml:space="preserve"> - Estimation de volume annuel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FFE" w:rsidRPr="00227091" w:rsidRDefault="007B0FFE" w:rsidP="00227091">
            <w:pPr>
              <w:jc w:val="center"/>
              <w:rPr>
                <w:rFonts w:cs="Times New Roman"/>
                <w:b/>
                <w:bCs/>
                <w:color w:val="000000"/>
                <w:lang w:val="fr-BE" w:eastAsia="fr-BE"/>
              </w:rPr>
            </w:pPr>
            <w:r w:rsidRPr="00227091">
              <w:rPr>
                <w:rFonts w:cs="Times New Roman"/>
                <w:b/>
                <w:bCs/>
                <w:color w:val="000000"/>
                <w:lang w:val="fr-BE" w:eastAsia="fr-BE"/>
              </w:rPr>
              <w:t>Niveau d'urgence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FFE" w:rsidRPr="00227091" w:rsidRDefault="007B0FFE" w:rsidP="00227091">
            <w:pPr>
              <w:jc w:val="center"/>
              <w:rPr>
                <w:rFonts w:cs="Times New Roman"/>
                <w:b/>
                <w:bCs/>
                <w:color w:val="000000"/>
                <w:lang w:val="fr-BE" w:eastAsia="fr-BE"/>
              </w:rPr>
            </w:pPr>
            <w:proofErr w:type="spellStart"/>
            <w:r w:rsidRPr="00227091">
              <w:rPr>
                <w:rFonts w:cs="Times New Roman"/>
                <w:b/>
                <w:bCs/>
                <w:color w:val="000000"/>
                <w:lang w:val="fr-BE" w:eastAsia="fr-BE"/>
              </w:rPr>
              <w:t>Nbre</w:t>
            </w:r>
            <w:proofErr w:type="spellEnd"/>
            <w:r w:rsidRPr="00227091">
              <w:rPr>
                <w:rFonts w:cs="Times New Roman"/>
                <w:b/>
                <w:bCs/>
                <w:color w:val="000000"/>
                <w:lang w:val="fr-BE" w:eastAsia="fr-BE"/>
              </w:rPr>
              <w:t xml:space="preserve"> mots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FFE" w:rsidRPr="00227091" w:rsidRDefault="007B0FFE" w:rsidP="00227091">
            <w:pPr>
              <w:jc w:val="center"/>
              <w:rPr>
                <w:rFonts w:cs="Times New Roman"/>
                <w:b/>
                <w:bCs/>
                <w:color w:val="000000"/>
                <w:lang w:val="fr-BE" w:eastAsia="fr-BE"/>
              </w:rPr>
            </w:pPr>
            <w:r w:rsidRPr="00227091">
              <w:rPr>
                <w:rFonts w:cs="Times New Roman"/>
                <w:b/>
                <w:bCs/>
                <w:color w:val="000000"/>
                <w:lang w:val="fr-BE" w:eastAsia="fr-BE"/>
              </w:rPr>
              <w:t>Fréquence annuelle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0FFE" w:rsidRPr="00227091" w:rsidRDefault="007B0FFE" w:rsidP="00227091">
            <w:pPr>
              <w:jc w:val="center"/>
              <w:rPr>
                <w:rFonts w:cs="Times New Roman"/>
                <w:b/>
                <w:bCs/>
                <w:color w:val="000000"/>
                <w:lang w:val="fr-BE" w:eastAsia="fr-BE"/>
              </w:rPr>
            </w:pPr>
            <w:r w:rsidRPr="00227091">
              <w:rPr>
                <w:rFonts w:cs="Times New Roman"/>
                <w:b/>
                <w:bCs/>
                <w:color w:val="000000"/>
                <w:lang w:val="fr-BE" w:eastAsia="fr-BE"/>
              </w:rPr>
              <w:t>Volume annuel total FR &gt; NL</w:t>
            </w:r>
            <w:r w:rsidRPr="00227091">
              <w:rPr>
                <w:rFonts w:cs="Times New Roman"/>
                <w:b/>
                <w:bCs/>
                <w:color w:val="000000"/>
                <w:lang w:val="fr-BE" w:eastAsia="fr-BE"/>
              </w:rPr>
              <w:br/>
            </w:r>
            <w:r w:rsidRPr="00227091">
              <w:rPr>
                <w:rFonts w:cs="Times New Roman"/>
                <w:color w:val="000000"/>
                <w:lang w:val="fr-BE" w:eastAsia="fr-BE"/>
              </w:rPr>
              <w:t>(nb mots)</w:t>
            </w:r>
          </w:p>
        </w:tc>
      </w:tr>
      <w:tr w:rsidR="007B0FFE" w:rsidRPr="00227091" w:rsidTr="007B0FFE">
        <w:trPr>
          <w:trHeight w:val="255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FE" w:rsidRPr="00227091" w:rsidRDefault="007B0FFE" w:rsidP="00227091">
            <w:pPr>
              <w:jc w:val="center"/>
              <w:rPr>
                <w:rFonts w:cs="Times New Roman"/>
                <w:color w:val="000000"/>
                <w:lang w:val="fr-BE" w:eastAsia="fr-BE"/>
              </w:rPr>
            </w:pPr>
            <w:r w:rsidRPr="00227091">
              <w:rPr>
                <w:rFonts w:cs="Times New Roman"/>
                <w:color w:val="000000"/>
                <w:lang w:val="fr-BE" w:eastAsia="fr-BE"/>
              </w:rPr>
              <w:t>Rapport d'activités annuel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FE" w:rsidRPr="00227091" w:rsidRDefault="007B0FFE" w:rsidP="00227091">
            <w:pPr>
              <w:jc w:val="center"/>
              <w:rPr>
                <w:rFonts w:cs="Times New Roman"/>
                <w:color w:val="000000"/>
                <w:lang w:val="fr-BE" w:eastAsia="fr-BE"/>
              </w:rPr>
            </w:pPr>
            <w:r w:rsidRPr="00227091">
              <w:rPr>
                <w:rFonts w:cs="Times New Roman"/>
                <w:color w:val="000000"/>
                <w:lang w:val="fr-BE" w:eastAsia="fr-BE"/>
              </w:rPr>
              <w:t>faible (plusieurs semaines)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FE" w:rsidRPr="00227091" w:rsidRDefault="007B0FFE" w:rsidP="00227091">
            <w:pPr>
              <w:jc w:val="center"/>
              <w:rPr>
                <w:rFonts w:cs="Times New Roman"/>
                <w:color w:val="000000"/>
                <w:lang w:val="fr-BE" w:eastAsia="fr-BE"/>
              </w:rPr>
            </w:pPr>
            <w:r w:rsidRPr="00227091">
              <w:rPr>
                <w:rFonts w:cs="Times New Roman"/>
                <w:color w:val="000000"/>
                <w:lang w:val="fr-BE" w:eastAsia="fr-B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FE" w:rsidRPr="00227091" w:rsidRDefault="007B0FFE" w:rsidP="00227091">
            <w:pPr>
              <w:jc w:val="center"/>
              <w:rPr>
                <w:rFonts w:cs="Times New Roman"/>
                <w:color w:val="000000"/>
                <w:lang w:val="fr-BE" w:eastAsia="fr-BE"/>
              </w:rPr>
            </w:pPr>
            <w:r w:rsidRPr="00227091">
              <w:rPr>
                <w:rFonts w:cs="Times New Roman"/>
                <w:color w:val="000000"/>
                <w:lang w:val="fr-BE" w:eastAsia="fr-BE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0FFE" w:rsidRPr="00227091" w:rsidRDefault="00FB5074" w:rsidP="00227091">
            <w:pPr>
              <w:jc w:val="center"/>
              <w:rPr>
                <w:rFonts w:cs="Times New Roman"/>
                <w:color w:val="000000"/>
                <w:lang w:val="fr-BE" w:eastAsia="fr-BE"/>
              </w:rPr>
            </w:pPr>
            <w:r>
              <w:rPr>
                <w:rFonts w:cs="Times New Roman"/>
                <w:color w:val="000000"/>
                <w:lang w:val="fr-BE" w:eastAsia="fr-BE"/>
              </w:rPr>
              <w:t>5</w:t>
            </w:r>
            <w:r w:rsidR="007B0FFE">
              <w:rPr>
                <w:rFonts w:cs="Times New Roman"/>
                <w:color w:val="000000"/>
                <w:lang w:val="fr-BE" w:eastAsia="fr-BE"/>
              </w:rPr>
              <w:t>.000</w:t>
            </w:r>
          </w:p>
        </w:tc>
      </w:tr>
      <w:tr w:rsidR="007B0FFE" w:rsidRPr="00227091" w:rsidTr="007B0FFE">
        <w:trPr>
          <w:trHeight w:val="255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FE" w:rsidRPr="00227091" w:rsidRDefault="007B0FFE" w:rsidP="00227091">
            <w:pPr>
              <w:jc w:val="center"/>
              <w:rPr>
                <w:rFonts w:cs="Times New Roman"/>
                <w:color w:val="000000"/>
                <w:lang w:val="fr-BE" w:eastAsia="fr-BE"/>
              </w:rPr>
            </w:pPr>
            <w:proofErr w:type="spellStart"/>
            <w:r w:rsidRPr="00227091">
              <w:rPr>
                <w:rFonts w:cs="Times New Roman"/>
                <w:color w:val="000000"/>
                <w:lang w:val="fr-BE" w:eastAsia="fr-BE"/>
              </w:rPr>
              <w:t>Webstories</w:t>
            </w:r>
            <w:proofErr w:type="spellEnd"/>
            <w:r>
              <w:rPr>
                <w:rFonts w:cs="Times New Roman"/>
                <w:color w:val="000000"/>
                <w:lang w:val="fr-BE" w:eastAsia="fr-BE"/>
              </w:rPr>
              <w:t xml:space="preserve"> (news sur le site d'ASF)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FE" w:rsidRPr="00227091" w:rsidRDefault="007B0FFE" w:rsidP="00227091">
            <w:pPr>
              <w:jc w:val="center"/>
              <w:rPr>
                <w:rFonts w:cs="Times New Roman"/>
                <w:color w:val="000000"/>
                <w:lang w:val="fr-BE" w:eastAsia="fr-BE"/>
              </w:rPr>
            </w:pPr>
            <w:r w:rsidRPr="00227091">
              <w:rPr>
                <w:rFonts w:cs="Times New Roman"/>
                <w:color w:val="000000"/>
                <w:lang w:val="fr-BE" w:eastAsia="fr-BE"/>
              </w:rPr>
              <w:t>haut (1 jour)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FE" w:rsidRPr="00227091" w:rsidRDefault="007B0FFE" w:rsidP="00227091">
            <w:pPr>
              <w:jc w:val="center"/>
              <w:rPr>
                <w:rFonts w:cs="Times New Roman"/>
                <w:color w:val="000000"/>
                <w:lang w:val="fr-BE" w:eastAsia="fr-BE"/>
              </w:rPr>
            </w:pPr>
            <w:r w:rsidRPr="00227091">
              <w:rPr>
                <w:rFonts w:cs="Times New Roman"/>
                <w:color w:val="000000"/>
                <w:lang w:val="fr-BE" w:eastAsia="fr-BE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FE" w:rsidRPr="00227091" w:rsidRDefault="007B0FFE" w:rsidP="00227091">
            <w:pPr>
              <w:jc w:val="center"/>
              <w:rPr>
                <w:rFonts w:cs="Times New Roman"/>
                <w:color w:val="000000"/>
                <w:lang w:val="fr-BE" w:eastAsia="fr-BE"/>
              </w:rPr>
            </w:pPr>
            <w:r w:rsidRPr="00227091">
              <w:rPr>
                <w:rFonts w:cs="Times New Roman"/>
                <w:color w:val="000000"/>
                <w:lang w:val="fr-BE" w:eastAsia="fr-BE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0FFE" w:rsidRPr="00227091" w:rsidRDefault="00FB5074" w:rsidP="00227091">
            <w:pPr>
              <w:jc w:val="center"/>
              <w:rPr>
                <w:rFonts w:cs="Times New Roman"/>
                <w:color w:val="000000"/>
                <w:lang w:val="fr-BE" w:eastAsia="fr-BE"/>
              </w:rPr>
            </w:pPr>
            <w:r>
              <w:rPr>
                <w:rFonts w:cs="Times New Roman"/>
                <w:color w:val="000000"/>
                <w:lang w:val="fr-BE" w:eastAsia="fr-BE"/>
              </w:rPr>
              <w:t>10.000</w:t>
            </w:r>
          </w:p>
        </w:tc>
      </w:tr>
      <w:tr w:rsidR="007B0FFE" w:rsidRPr="00227091" w:rsidTr="007B0FFE">
        <w:trPr>
          <w:trHeight w:val="255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FE" w:rsidRPr="00227091" w:rsidRDefault="007B0FFE" w:rsidP="00227091">
            <w:pPr>
              <w:jc w:val="center"/>
              <w:rPr>
                <w:rFonts w:cs="Times New Roman"/>
                <w:color w:val="000000"/>
                <w:lang w:val="fr-BE" w:eastAsia="fr-BE"/>
              </w:rPr>
            </w:pPr>
            <w:r w:rsidRPr="00227091">
              <w:rPr>
                <w:rFonts w:cs="Times New Roman"/>
                <w:color w:val="000000"/>
                <w:lang w:val="fr-BE" w:eastAsia="fr-BE"/>
              </w:rPr>
              <w:t>Courriers membres et donateurs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FE" w:rsidRPr="00227091" w:rsidRDefault="007B0FFE" w:rsidP="00227091">
            <w:pPr>
              <w:jc w:val="center"/>
              <w:rPr>
                <w:rFonts w:cs="Times New Roman"/>
                <w:color w:val="000000"/>
                <w:lang w:val="fr-BE" w:eastAsia="fr-BE"/>
              </w:rPr>
            </w:pPr>
            <w:r w:rsidRPr="00227091">
              <w:rPr>
                <w:rFonts w:cs="Times New Roman"/>
                <w:color w:val="000000"/>
                <w:lang w:val="fr-BE" w:eastAsia="fr-BE"/>
              </w:rPr>
              <w:t>moyen (1 semaine)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FE" w:rsidRPr="00227091" w:rsidRDefault="007B0FFE" w:rsidP="00227091">
            <w:pPr>
              <w:jc w:val="center"/>
              <w:rPr>
                <w:rFonts w:cs="Times New Roman"/>
                <w:color w:val="000000"/>
                <w:lang w:val="fr-BE" w:eastAsia="fr-BE"/>
              </w:rPr>
            </w:pPr>
            <w:r w:rsidRPr="00227091">
              <w:rPr>
                <w:rFonts w:cs="Times New Roman"/>
                <w:color w:val="000000"/>
                <w:lang w:val="fr-BE" w:eastAsia="fr-BE"/>
              </w:rPr>
              <w:t>550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FE" w:rsidRPr="00227091" w:rsidRDefault="007B0FFE" w:rsidP="00227091">
            <w:pPr>
              <w:jc w:val="center"/>
              <w:rPr>
                <w:rFonts w:cs="Times New Roman"/>
                <w:color w:val="000000"/>
                <w:lang w:val="fr-BE" w:eastAsia="fr-BE"/>
              </w:rPr>
            </w:pPr>
            <w:r w:rsidRPr="00227091">
              <w:rPr>
                <w:rFonts w:cs="Times New Roman"/>
                <w:color w:val="000000"/>
                <w:lang w:val="fr-BE" w:eastAsia="fr-BE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0FFE" w:rsidRPr="00227091" w:rsidRDefault="007B0FFE" w:rsidP="00227091">
            <w:pPr>
              <w:jc w:val="center"/>
              <w:rPr>
                <w:rFonts w:cs="Times New Roman"/>
                <w:color w:val="000000"/>
                <w:lang w:val="fr-BE" w:eastAsia="fr-BE"/>
              </w:rPr>
            </w:pPr>
            <w:r w:rsidRPr="00227091">
              <w:rPr>
                <w:rFonts w:cs="Times New Roman"/>
                <w:color w:val="000000"/>
                <w:lang w:val="fr-BE" w:eastAsia="fr-BE"/>
              </w:rPr>
              <w:t>2.200</w:t>
            </w:r>
          </w:p>
        </w:tc>
      </w:tr>
      <w:tr w:rsidR="007B0FFE" w:rsidRPr="00227091" w:rsidTr="007B0FFE">
        <w:trPr>
          <w:trHeight w:val="255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FE" w:rsidRPr="00227091" w:rsidRDefault="007B0FFE" w:rsidP="00227091">
            <w:pPr>
              <w:jc w:val="center"/>
              <w:rPr>
                <w:rFonts w:cs="Times New Roman"/>
                <w:color w:val="000000"/>
                <w:lang w:val="fr-BE" w:eastAsia="fr-BE"/>
              </w:rPr>
            </w:pPr>
            <w:r w:rsidRPr="00227091">
              <w:rPr>
                <w:rFonts w:cs="Times New Roman"/>
                <w:color w:val="000000"/>
                <w:lang w:val="fr-BE" w:eastAsia="fr-BE"/>
              </w:rPr>
              <w:t>Communiqués de presse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FE" w:rsidRPr="00227091" w:rsidRDefault="007B0FFE" w:rsidP="00227091">
            <w:pPr>
              <w:jc w:val="center"/>
              <w:rPr>
                <w:rFonts w:cs="Times New Roman"/>
                <w:color w:val="000000"/>
                <w:lang w:val="fr-BE" w:eastAsia="fr-BE"/>
              </w:rPr>
            </w:pPr>
            <w:r w:rsidRPr="00227091">
              <w:rPr>
                <w:rFonts w:cs="Times New Roman"/>
                <w:color w:val="000000"/>
                <w:lang w:val="fr-BE" w:eastAsia="fr-BE"/>
              </w:rPr>
              <w:t>haut (1 jour)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FE" w:rsidRPr="00227091" w:rsidRDefault="007B0FFE" w:rsidP="00227091">
            <w:pPr>
              <w:jc w:val="center"/>
              <w:rPr>
                <w:rFonts w:cs="Times New Roman"/>
                <w:color w:val="000000"/>
                <w:lang w:val="fr-BE" w:eastAsia="fr-BE"/>
              </w:rPr>
            </w:pPr>
            <w:r w:rsidRPr="00227091">
              <w:rPr>
                <w:rFonts w:cs="Times New Roman"/>
                <w:color w:val="000000"/>
                <w:lang w:val="fr-BE" w:eastAsia="fr-BE"/>
              </w:rPr>
              <w:t>1.000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FE" w:rsidRPr="00227091" w:rsidRDefault="007B0FFE" w:rsidP="00227091">
            <w:pPr>
              <w:jc w:val="center"/>
              <w:rPr>
                <w:rFonts w:cs="Times New Roman"/>
                <w:color w:val="000000"/>
                <w:lang w:val="fr-BE" w:eastAsia="fr-BE"/>
              </w:rPr>
            </w:pPr>
            <w:r>
              <w:rPr>
                <w:rFonts w:cs="Times New Roman"/>
                <w:color w:val="000000"/>
                <w:lang w:val="fr-BE" w:eastAsia="fr-BE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0FFE" w:rsidRPr="00227091" w:rsidRDefault="007B0FFE" w:rsidP="00227091">
            <w:pPr>
              <w:jc w:val="center"/>
              <w:rPr>
                <w:rFonts w:cs="Times New Roman"/>
                <w:color w:val="000000"/>
                <w:lang w:val="fr-BE" w:eastAsia="fr-BE"/>
              </w:rPr>
            </w:pPr>
            <w:r>
              <w:rPr>
                <w:rFonts w:cs="Times New Roman"/>
                <w:color w:val="000000"/>
                <w:lang w:val="fr-BE" w:eastAsia="fr-BE"/>
              </w:rPr>
              <w:t>6</w:t>
            </w:r>
            <w:r w:rsidRPr="00227091">
              <w:rPr>
                <w:rFonts w:cs="Times New Roman"/>
                <w:color w:val="000000"/>
                <w:lang w:val="fr-BE" w:eastAsia="fr-BE"/>
              </w:rPr>
              <w:t>.000</w:t>
            </w:r>
          </w:p>
        </w:tc>
      </w:tr>
      <w:tr w:rsidR="007B0FFE" w:rsidRPr="00227091" w:rsidTr="007B0FFE">
        <w:trPr>
          <w:trHeight w:val="255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FE" w:rsidRPr="00227091" w:rsidRDefault="007B0FFE" w:rsidP="00227091">
            <w:pPr>
              <w:jc w:val="center"/>
              <w:rPr>
                <w:rFonts w:cs="Times New Roman"/>
                <w:color w:val="000000"/>
                <w:lang w:val="fr-BE" w:eastAsia="fr-BE"/>
              </w:rPr>
            </w:pPr>
            <w:r w:rsidRPr="00227091">
              <w:rPr>
                <w:rFonts w:cs="Times New Roman"/>
                <w:color w:val="000000"/>
                <w:lang w:val="fr-BE" w:eastAsia="fr-BE"/>
              </w:rPr>
              <w:t>Divers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FE" w:rsidRPr="00227091" w:rsidRDefault="007B0FFE" w:rsidP="00227091">
            <w:pPr>
              <w:jc w:val="center"/>
              <w:rPr>
                <w:rFonts w:cs="Times New Roman"/>
                <w:color w:val="000000"/>
                <w:lang w:val="fr-BE" w:eastAsia="fr-BE"/>
              </w:rPr>
            </w:pPr>
            <w:r w:rsidRPr="00227091">
              <w:rPr>
                <w:rFonts w:cs="Times New Roman"/>
                <w:color w:val="000000"/>
                <w:lang w:val="fr-BE" w:eastAsia="fr-BE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FE" w:rsidRPr="00227091" w:rsidRDefault="007B0FFE" w:rsidP="00227091">
            <w:pPr>
              <w:jc w:val="center"/>
              <w:rPr>
                <w:rFonts w:cs="Times New Roman"/>
                <w:color w:val="000000"/>
                <w:lang w:val="fr-BE" w:eastAsia="fr-BE"/>
              </w:rPr>
            </w:pPr>
            <w:r w:rsidRPr="00227091">
              <w:rPr>
                <w:rFonts w:cs="Times New Roman"/>
                <w:color w:val="000000"/>
                <w:lang w:val="fr-BE" w:eastAsia="fr-B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FE" w:rsidRPr="00227091" w:rsidRDefault="007B0FFE" w:rsidP="00227091">
            <w:pPr>
              <w:jc w:val="center"/>
              <w:rPr>
                <w:rFonts w:cs="Times New Roman"/>
                <w:color w:val="000000"/>
                <w:lang w:val="fr-BE" w:eastAsia="fr-BE"/>
              </w:rPr>
            </w:pPr>
            <w:r w:rsidRPr="00227091">
              <w:rPr>
                <w:rFonts w:cs="Times New Roman"/>
                <w:color w:val="000000"/>
                <w:lang w:val="fr-BE" w:eastAsia="fr-B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0FFE" w:rsidRPr="00227091" w:rsidRDefault="007B0FFE" w:rsidP="00227091">
            <w:pPr>
              <w:jc w:val="center"/>
              <w:rPr>
                <w:rFonts w:cs="Times New Roman"/>
                <w:color w:val="000000"/>
                <w:lang w:val="fr-BE" w:eastAsia="fr-BE"/>
              </w:rPr>
            </w:pPr>
            <w:r w:rsidRPr="00227091">
              <w:rPr>
                <w:rFonts w:cs="Times New Roman"/>
                <w:color w:val="000000"/>
                <w:lang w:val="fr-BE" w:eastAsia="fr-BE"/>
              </w:rPr>
              <w:t>3.000</w:t>
            </w:r>
          </w:p>
        </w:tc>
      </w:tr>
      <w:tr w:rsidR="007B0FFE" w:rsidRPr="00227091" w:rsidTr="007B0FFE">
        <w:trPr>
          <w:trHeight w:val="270"/>
          <w:jc w:val="center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FE" w:rsidRPr="00227091" w:rsidRDefault="007B0FFE" w:rsidP="00227091">
            <w:pPr>
              <w:rPr>
                <w:rFonts w:cs="Times New Roman"/>
                <w:b/>
                <w:bCs/>
                <w:color w:val="000000"/>
                <w:lang w:val="fr-BE" w:eastAsia="fr-BE"/>
              </w:rPr>
            </w:pPr>
            <w:r w:rsidRPr="00227091">
              <w:rPr>
                <w:rFonts w:cs="Times New Roman"/>
                <w:b/>
                <w:bCs/>
                <w:color w:val="000000"/>
                <w:lang w:val="fr-BE" w:eastAsia="fr-BE"/>
              </w:rPr>
              <w:t xml:space="preserve">TOTAL nombre de </w:t>
            </w:r>
            <w:r>
              <w:rPr>
                <w:rFonts w:cs="Times New Roman"/>
                <w:b/>
                <w:bCs/>
                <w:color w:val="000000"/>
                <w:lang w:val="fr-BE" w:eastAsia="fr-BE"/>
              </w:rPr>
              <w:t>mots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FE" w:rsidRPr="00227091" w:rsidRDefault="007B0FFE" w:rsidP="00227091">
            <w:pPr>
              <w:rPr>
                <w:rFonts w:cs="Times New Roman"/>
                <w:b/>
                <w:bCs/>
                <w:color w:val="000000"/>
                <w:lang w:val="fr-BE" w:eastAsia="fr-BE"/>
              </w:rPr>
            </w:pPr>
            <w:r w:rsidRPr="00227091">
              <w:rPr>
                <w:rFonts w:cs="Times New Roman"/>
                <w:b/>
                <w:bCs/>
                <w:color w:val="000000"/>
                <w:lang w:val="fr-BE" w:eastAsia="fr-BE"/>
              </w:rPr>
              <w:t> 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FE" w:rsidRPr="00227091" w:rsidRDefault="007B0FFE" w:rsidP="00227091">
            <w:pPr>
              <w:jc w:val="center"/>
              <w:rPr>
                <w:rFonts w:cs="Times New Roman"/>
                <w:b/>
                <w:bCs/>
                <w:color w:val="000000"/>
                <w:lang w:val="fr-BE" w:eastAsia="fr-BE"/>
              </w:rPr>
            </w:pPr>
            <w:r w:rsidRPr="00227091">
              <w:rPr>
                <w:rFonts w:cs="Times New Roman"/>
                <w:b/>
                <w:bCs/>
                <w:color w:val="000000"/>
                <w:lang w:val="fr-BE" w:eastAsia="fr-BE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FE" w:rsidRPr="00227091" w:rsidRDefault="007B0FFE" w:rsidP="00227091">
            <w:pPr>
              <w:jc w:val="center"/>
              <w:rPr>
                <w:rFonts w:cs="Times New Roman"/>
                <w:b/>
                <w:bCs/>
                <w:color w:val="000000"/>
                <w:lang w:val="fr-BE" w:eastAsia="fr-BE"/>
              </w:rPr>
            </w:pPr>
            <w:r w:rsidRPr="00227091">
              <w:rPr>
                <w:rFonts w:cs="Times New Roman"/>
                <w:b/>
                <w:bCs/>
                <w:color w:val="000000"/>
                <w:lang w:val="fr-BE" w:eastAsia="fr-BE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0FFE" w:rsidRPr="00227091" w:rsidRDefault="00FB5074" w:rsidP="00227091">
            <w:pPr>
              <w:jc w:val="center"/>
              <w:rPr>
                <w:rFonts w:cs="Times New Roman"/>
                <w:b/>
                <w:bCs/>
                <w:color w:val="000000"/>
                <w:lang w:val="fr-BE" w:eastAsia="fr-BE"/>
              </w:rPr>
            </w:pPr>
            <w:r>
              <w:rPr>
                <w:rFonts w:cs="Times New Roman"/>
                <w:b/>
                <w:bCs/>
                <w:color w:val="000000"/>
                <w:lang w:val="fr-BE" w:eastAsia="fr-BE"/>
              </w:rPr>
              <w:t>26.2</w:t>
            </w:r>
            <w:r w:rsidR="007B0FFE">
              <w:rPr>
                <w:rFonts w:cs="Times New Roman"/>
                <w:b/>
                <w:bCs/>
                <w:color w:val="000000"/>
                <w:lang w:val="fr-BE" w:eastAsia="fr-BE"/>
              </w:rPr>
              <w:t>00</w:t>
            </w:r>
          </w:p>
        </w:tc>
      </w:tr>
    </w:tbl>
    <w:p w:rsidR="00227091" w:rsidRPr="00B26EA4" w:rsidRDefault="00227091" w:rsidP="00B26EA4">
      <w:pPr>
        <w:jc w:val="both"/>
        <w:rPr>
          <w:color w:val="000000"/>
          <w:lang w:val="fr-BE"/>
        </w:rPr>
        <w:sectPr w:rsidR="00227091" w:rsidRPr="00B26EA4" w:rsidSect="004D4346">
          <w:headerReference w:type="first" r:id="rId15"/>
          <w:footerReference w:type="first" r:id="rId16"/>
          <w:pgSz w:w="16840" w:h="11907" w:orient="landscape" w:code="9"/>
          <w:pgMar w:top="1134" w:right="1134" w:bottom="1134" w:left="2269" w:header="720" w:footer="627" w:gutter="0"/>
          <w:cols w:space="720"/>
          <w:titlePg/>
          <w:docGrid w:linePitch="272"/>
        </w:sectPr>
      </w:pPr>
    </w:p>
    <w:p w:rsidR="00926E7C" w:rsidRPr="00B26EA4" w:rsidRDefault="00B26EA4" w:rsidP="00E2493D">
      <w:pPr>
        <w:rPr>
          <w:b/>
          <w:u w:val="single"/>
          <w:lang w:val="fr-BE"/>
        </w:rPr>
      </w:pPr>
      <w:r>
        <w:rPr>
          <w:b/>
          <w:u w:val="single"/>
          <w:lang w:val="fr-BE"/>
        </w:rPr>
        <w:lastRenderedPageBreak/>
        <w:t xml:space="preserve">3. </w:t>
      </w:r>
      <w:r w:rsidR="00E2493D">
        <w:rPr>
          <w:b/>
          <w:u w:val="single"/>
          <w:lang w:val="fr-BE"/>
        </w:rPr>
        <w:t>M</w:t>
      </w:r>
      <w:r w:rsidR="00B3016F" w:rsidRPr="00B26EA4">
        <w:rPr>
          <w:b/>
          <w:u w:val="single"/>
          <w:lang w:val="fr-BE"/>
        </w:rPr>
        <w:t>odalités de remise des offres</w:t>
      </w:r>
    </w:p>
    <w:p w:rsidR="00926E7C" w:rsidRPr="00B26EA4" w:rsidRDefault="00926E7C" w:rsidP="00B26EA4">
      <w:pPr>
        <w:rPr>
          <w:lang w:val="fr-BE"/>
        </w:rPr>
      </w:pPr>
    </w:p>
    <w:p w:rsidR="0004396B" w:rsidRPr="0004396B" w:rsidRDefault="0004396B" w:rsidP="0004396B">
      <w:pPr>
        <w:pStyle w:val="Paragraphedeliste"/>
        <w:numPr>
          <w:ilvl w:val="0"/>
          <w:numId w:val="20"/>
        </w:numPr>
        <w:rPr>
          <w:b/>
          <w:u w:val="single"/>
          <w:lang w:val="fr-BE"/>
        </w:rPr>
      </w:pPr>
      <w:r w:rsidRPr="00B26EA4">
        <w:rPr>
          <w:lang w:val="fr-BE"/>
        </w:rPr>
        <w:t>Langue de l'offre</w:t>
      </w:r>
      <w:r w:rsidR="00722449">
        <w:rPr>
          <w:lang w:val="fr-BE"/>
        </w:rPr>
        <w:t xml:space="preserve"> </w:t>
      </w:r>
      <w:r w:rsidRPr="00B26EA4">
        <w:rPr>
          <w:lang w:val="fr-BE"/>
        </w:rPr>
        <w:t>:</w:t>
      </w:r>
      <w:r w:rsidR="00722449">
        <w:rPr>
          <w:lang w:val="fr-BE"/>
        </w:rPr>
        <w:t xml:space="preserve"> français.</w:t>
      </w:r>
    </w:p>
    <w:p w:rsidR="0004396B" w:rsidRDefault="0004396B" w:rsidP="00B26EA4">
      <w:pPr>
        <w:pStyle w:val="Paragraphedeliste"/>
        <w:numPr>
          <w:ilvl w:val="0"/>
          <w:numId w:val="7"/>
        </w:numPr>
        <w:rPr>
          <w:bCs/>
          <w:lang w:val="fr-BE"/>
        </w:rPr>
      </w:pPr>
      <w:r>
        <w:rPr>
          <w:bCs/>
          <w:lang w:val="fr-BE"/>
        </w:rPr>
        <w:t>L'offre financière devra indiquer</w:t>
      </w:r>
      <w:r w:rsidR="00722449">
        <w:rPr>
          <w:bCs/>
          <w:lang w:val="fr-BE"/>
        </w:rPr>
        <w:t xml:space="preserve"> </w:t>
      </w:r>
      <w:r>
        <w:rPr>
          <w:bCs/>
          <w:lang w:val="fr-BE"/>
        </w:rPr>
        <w:t>:</w:t>
      </w:r>
    </w:p>
    <w:p w:rsidR="00285A6B" w:rsidRDefault="00161C84" w:rsidP="00161C84">
      <w:pPr>
        <w:pStyle w:val="Paragraphedeliste"/>
        <w:numPr>
          <w:ilvl w:val="1"/>
          <w:numId w:val="7"/>
        </w:numPr>
        <w:rPr>
          <w:bCs/>
          <w:lang w:val="fr-BE"/>
        </w:rPr>
      </w:pPr>
      <w:r>
        <w:rPr>
          <w:bCs/>
          <w:lang w:val="fr-BE"/>
        </w:rPr>
        <w:t>Pour les traductions, l</w:t>
      </w:r>
      <w:r w:rsidR="007666CD" w:rsidRPr="00B26EA4">
        <w:rPr>
          <w:bCs/>
          <w:lang w:val="fr-BE"/>
        </w:rPr>
        <w:t xml:space="preserve">e </w:t>
      </w:r>
      <w:r w:rsidR="00285A6B" w:rsidRPr="00B26EA4">
        <w:rPr>
          <w:bCs/>
          <w:lang w:val="fr-BE"/>
        </w:rPr>
        <w:t>prix unitaire par mot dans la langue-source (montant hors TVA</w:t>
      </w:r>
      <w:r w:rsidR="00246CDA">
        <w:rPr>
          <w:bCs/>
          <w:lang w:val="fr-BE"/>
        </w:rPr>
        <w:t xml:space="preserve"> - indiquer s'il y a une TVA à appliquer</w:t>
      </w:r>
      <w:r w:rsidR="00285A6B" w:rsidRPr="00B26EA4">
        <w:rPr>
          <w:bCs/>
          <w:lang w:val="fr-BE"/>
        </w:rPr>
        <w:t>).</w:t>
      </w:r>
    </w:p>
    <w:p w:rsidR="007944DD" w:rsidRPr="0004396B" w:rsidRDefault="007944DD" w:rsidP="00B26EA4">
      <w:pPr>
        <w:pStyle w:val="Paragraphedeliste"/>
        <w:numPr>
          <w:ilvl w:val="0"/>
          <w:numId w:val="7"/>
        </w:numPr>
        <w:rPr>
          <w:b/>
          <w:u w:val="single"/>
          <w:lang w:val="fr-BE"/>
        </w:rPr>
      </w:pPr>
      <w:r w:rsidRPr="00B26EA4">
        <w:rPr>
          <w:lang w:val="fr-BE"/>
        </w:rPr>
        <w:t>Devise</w:t>
      </w:r>
      <w:r w:rsidR="00B3016F" w:rsidRPr="00B26EA4">
        <w:rPr>
          <w:lang w:val="fr-BE"/>
        </w:rPr>
        <w:t xml:space="preserve"> à utiliser</w:t>
      </w:r>
      <w:r w:rsidR="00722449">
        <w:rPr>
          <w:lang w:val="fr-BE"/>
        </w:rPr>
        <w:t xml:space="preserve"> </w:t>
      </w:r>
      <w:r w:rsidRPr="00B26EA4">
        <w:rPr>
          <w:lang w:val="fr-BE"/>
        </w:rPr>
        <w:t>: euro.</w:t>
      </w:r>
    </w:p>
    <w:p w:rsidR="00B3016F" w:rsidRDefault="00B3016F" w:rsidP="00B26EA4">
      <w:pPr>
        <w:pStyle w:val="Paragraphedeliste"/>
        <w:numPr>
          <w:ilvl w:val="0"/>
          <w:numId w:val="7"/>
        </w:numPr>
        <w:rPr>
          <w:lang w:val="fr-BE"/>
        </w:rPr>
      </w:pPr>
      <w:r w:rsidRPr="00B26EA4">
        <w:rPr>
          <w:lang w:val="fr-BE"/>
        </w:rPr>
        <w:t>L'offre sera accompagnée d'une liste de références-clients.</w:t>
      </w:r>
    </w:p>
    <w:p w:rsidR="00B3016F" w:rsidRPr="00B26EA4" w:rsidRDefault="00B3016F" w:rsidP="00E2493D">
      <w:pPr>
        <w:pStyle w:val="Paragraphedeliste"/>
        <w:numPr>
          <w:ilvl w:val="0"/>
          <w:numId w:val="7"/>
        </w:numPr>
        <w:rPr>
          <w:lang w:val="fr-BE"/>
        </w:rPr>
      </w:pPr>
      <w:r w:rsidRPr="00B26EA4">
        <w:rPr>
          <w:lang w:val="fr-BE"/>
        </w:rPr>
        <w:t>Elle sera aussi accompagnée d'une déclaration de confidentialité et d'impartialité complétée et signée</w:t>
      </w:r>
      <w:r w:rsidR="00277CDE">
        <w:rPr>
          <w:lang w:val="fr-BE"/>
        </w:rPr>
        <w:t xml:space="preserve"> (voir annexe A)</w:t>
      </w:r>
      <w:r w:rsidR="00393518" w:rsidRPr="00B26EA4">
        <w:rPr>
          <w:lang w:val="fr-BE"/>
        </w:rPr>
        <w:t>, d'une fiche d'identification du soumissionnaire</w:t>
      </w:r>
      <w:r w:rsidR="00277CDE">
        <w:rPr>
          <w:lang w:val="fr-BE"/>
        </w:rPr>
        <w:t xml:space="preserve"> qui reprend également les garanties et types de services après-vente offerts</w:t>
      </w:r>
      <w:r w:rsidRPr="00B26EA4">
        <w:rPr>
          <w:lang w:val="fr-BE"/>
        </w:rPr>
        <w:t xml:space="preserve"> (voir annexe</w:t>
      </w:r>
      <w:r w:rsidR="00B26EA4">
        <w:rPr>
          <w:lang w:val="fr-BE"/>
        </w:rPr>
        <w:t xml:space="preserve"> B</w:t>
      </w:r>
      <w:r w:rsidR="00E2493D">
        <w:rPr>
          <w:lang w:val="fr-BE"/>
        </w:rPr>
        <w:t>) et d'une traduction-test (voir plu bas).</w:t>
      </w:r>
    </w:p>
    <w:p w:rsidR="00146CCE" w:rsidRDefault="00146CCE" w:rsidP="00B26EA4">
      <w:pPr>
        <w:pStyle w:val="Paragraphedeliste"/>
        <w:numPr>
          <w:ilvl w:val="0"/>
          <w:numId w:val="7"/>
        </w:numPr>
        <w:rPr>
          <w:lang w:val="fr-BE"/>
        </w:rPr>
      </w:pPr>
      <w:r w:rsidRPr="00B26EA4">
        <w:rPr>
          <w:lang w:val="fr-BE"/>
        </w:rPr>
        <w:t>L'offre doit être valable 3 mois.</w:t>
      </w:r>
    </w:p>
    <w:p w:rsidR="00E2493D" w:rsidRPr="00B26EA4" w:rsidRDefault="00E2493D" w:rsidP="00B26EA4">
      <w:pPr>
        <w:pStyle w:val="Paragraphedeliste"/>
        <w:numPr>
          <w:ilvl w:val="0"/>
          <w:numId w:val="7"/>
        </w:numPr>
        <w:rPr>
          <w:lang w:val="fr-BE"/>
        </w:rPr>
      </w:pPr>
      <w:r>
        <w:rPr>
          <w:lang w:val="fr-BE"/>
        </w:rPr>
        <w:t>Toute autre information utile est à reprendre dans l'offre. L'appel s'adressant à la fois à des traducteurs indépendants et à des agences, ces dernières sont invitées à détailler l'ensemble des services qu'elles peuvent offrir.</w:t>
      </w:r>
    </w:p>
    <w:p w:rsidR="00393518" w:rsidRPr="00B26EA4" w:rsidRDefault="00393518" w:rsidP="00B26EA4">
      <w:pPr>
        <w:pStyle w:val="Paragraphedeliste"/>
        <w:rPr>
          <w:lang w:val="fr-BE"/>
        </w:rPr>
      </w:pPr>
    </w:p>
    <w:p w:rsidR="00633759" w:rsidRPr="00B26EA4" w:rsidRDefault="00B26EA4" w:rsidP="00B26EA4">
      <w:pPr>
        <w:rPr>
          <w:b/>
          <w:u w:val="single"/>
          <w:lang w:val="fr-BE"/>
        </w:rPr>
      </w:pPr>
      <w:r>
        <w:rPr>
          <w:b/>
          <w:u w:val="single"/>
          <w:lang w:val="fr-BE"/>
        </w:rPr>
        <w:t xml:space="preserve">4. </w:t>
      </w:r>
      <w:r w:rsidRPr="00B26EA4">
        <w:rPr>
          <w:b/>
          <w:u w:val="single"/>
          <w:lang w:val="fr-BE"/>
        </w:rPr>
        <w:t>Evaluation des offres et choix du/des adjudicataires</w:t>
      </w:r>
    </w:p>
    <w:p w:rsidR="00B26EA4" w:rsidRPr="00B26EA4" w:rsidRDefault="00B26EA4" w:rsidP="00B26EA4">
      <w:pPr>
        <w:rPr>
          <w:b/>
          <w:u w:val="single"/>
          <w:lang w:val="fr-BE"/>
        </w:rPr>
      </w:pPr>
    </w:p>
    <w:p w:rsidR="00B26EA4" w:rsidRPr="00B26EA4" w:rsidRDefault="00B26EA4" w:rsidP="00B26EA4">
      <w:pPr>
        <w:jc w:val="both"/>
        <w:rPr>
          <w:rFonts w:cs="Arial"/>
          <w:lang w:val="fr-BE"/>
        </w:rPr>
      </w:pPr>
      <w:r w:rsidRPr="00B26EA4">
        <w:rPr>
          <w:rFonts w:cs="Arial"/>
          <w:lang w:val="fr-BE"/>
        </w:rPr>
        <w:t>L’évaluation des offres sera effectuée au sein d</w:t>
      </w:r>
      <w:r w:rsidR="00E2493D">
        <w:rPr>
          <w:rFonts w:cs="Arial"/>
          <w:lang w:val="fr-BE"/>
        </w:rPr>
        <w:t>'ASF par un comité d'évaluation regroupant des représentants de différents services (communication, finances et opérations).</w:t>
      </w:r>
    </w:p>
    <w:p w:rsidR="00B26EA4" w:rsidRDefault="00B26EA4" w:rsidP="00B26EA4">
      <w:pPr>
        <w:jc w:val="both"/>
        <w:rPr>
          <w:rFonts w:cs="Arial"/>
          <w:lang w:val="fr-BE"/>
        </w:rPr>
      </w:pPr>
    </w:p>
    <w:p w:rsidR="00B26EA4" w:rsidRPr="00B26EA4" w:rsidRDefault="00B26EA4" w:rsidP="00B26EA4">
      <w:pPr>
        <w:pStyle w:val="Paragraphedeliste"/>
        <w:numPr>
          <w:ilvl w:val="0"/>
          <w:numId w:val="24"/>
        </w:numPr>
        <w:jc w:val="both"/>
        <w:rPr>
          <w:rFonts w:cs="Arial"/>
          <w:b/>
          <w:bCs/>
          <w:lang w:val="fr-BE"/>
        </w:rPr>
      </w:pPr>
      <w:r w:rsidRPr="00B26EA4">
        <w:rPr>
          <w:rFonts w:cs="Arial"/>
          <w:b/>
          <w:bCs/>
          <w:lang w:val="fr-BE"/>
        </w:rPr>
        <w:t>Contrôle préliminaire</w:t>
      </w:r>
    </w:p>
    <w:p w:rsidR="00B26EA4" w:rsidRDefault="00B26EA4" w:rsidP="00B26EA4">
      <w:pPr>
        <w:jc w:val="both"/>
        <w:rPr>
          <w:rFonts w:cs="Arial"/>
          <w:lang w:val="fr-BE"/>
        </w:rPr>
      </w:pPr>
    </w:p>
    <w:p w:rsidR="00B26EA4" w:rsidRPr="00B26EA4" w:rsidRDefault="00B26EA4" w:rsidP="00B26EA4">
      <w:pPr>
        <w:jc w:val="both"/>
        <w:rPr>
          <w:rFonts w:cs="Arial"/>
          <w:lang w:val="fr-BE"/>
        </w:rPr>
      </w:pPr>
      <w:r w:rsidRPr="00B26EA4">
        <w:rPr>
          <w:rFonts w:cs="Arial"/>
          <w:lang w:val="fr-BE"/>
        </w:rPr>
        <w:t>La première étape de l'évaluation portera sur les aspects administratifs et déterminera si l'offre proposée est conforme aux termes et conditions de l'appel d'offres</w:t>
      </w:r>
      <w:r>
        <w:rPr>
          <w:rFonts w:cs="Arial"/>
          <w:lang w:val="fr-BE"/>
        </w:rPr>
        <w:t xml:space="preserve"> repris au point 3 ci-dessus. </w:t>
      </w:r>
      <w:r w:rsidRPr="00B26EA4">
        <w:rPr>
          <w:rFonts w:cs="Arial"/>
          <w:lang w:val="fr-BE"/>
        </w:rPr>
        <w:t xml:space="preserve">Une offre jugée non-conforme </w:t>
      </w:r>
      <w:r>
        <w:rPr>
          <w:rFonts w:cs="Arial"/>
          <w:lang w:val="fr-BE"/>
        </w:rPr>
        <w:t xml:space="preserve">aux critères énoncés, </w:t>
      </w:r>
      <w:r w:rsidRPr="00B26EA4">
        <w:rPr>
          <w:rFonts w:cs="Arial"/>
          <w:lang w:val="fr-BE"/>
        </w:rPr>
        <w:t>sera rejetée et ne sera pas considérée pour une évaluation technique.</w:t>
      </w:r>
    </w:p>
    <w:p w:rsidR="00B26EA4" w:rsidRDefault="00B26EA4" w:rsidP="00B26EA4">
      <w:pPr>
        <w:rPr>
          <w:b/>
          <w:u w:val="single"/>
          <w:lang w:val="fr-BE"/>
        </w:rPr>
      </w:pPr>
    </w:p>
    <w:p w:rsidR="00B26EA4" w:rsidRPr="00B26EA4" w:rsidRDefault="00B26EA4" w:rsidP="00B26EA4">
      <w:pPr>
        <w:pStyle w:val="Paragraphedeliste"/>
        <w:numPr>
          <w:ilvl w:val="0"/>
          <w:numId w:val="24"/>
        </w:numPr>
        <w:rPr>
          <w:b/>
          <w:lang w:val="fr-BE"/>
        </w:rPr>
      </w:pPr>
      <w:r w:rsidRPr="00B26EA4">
        <w:rPr>
          <w:b/>
          <w:lang w:val="fr-BE"/>
        </w:rPr>
        <w:t>Evaluation technique</w:t>
      </w:r>
    </w:p>
    <w:p w:rsidR="00B26EA4" w:rsidRDefault="00B26EA4" w:rsidP="00B26EA4">
      <w:pPr>
        <w:jc w:val="both"/>
        <w:rPr>
          <w:lang w:val="fr-BE"/>
        </w:rPr>
      </w:pPr>
    </w:p>
    <w:p w:rsidR="00285A6B" w:rsidRPr="00B26EA4" w:rsidRDefault="00582F0A" w:rsidP="00B26EA4">
      <w:pPr>
        <w:jc w:val="both"/>
        <w:rPr>
          <w:lang w:val="fr-BE"/>
        </w:rPr>
      </w:pPr>
      <w:r w:rsidRPr="00B26EA4">
        <w:rPr>
          <w:lang w:val="fr-BE"/>
        </w:rPr>
        <w:t>L</w:t>
      </w:r>
      <w:r w:rsidR="00285A6B" w:rsidRPr="00B26EA4">
        <w:rPr>
          <w:lang w:val="fr-BE"/>
        </w:rPr>
        <w:t>e prix n’est pas le seul facteur qui nous permettra de prendre une décision</w:t>
      </w:r>
      <w:r w:rsidR="00722449">
        <w:rPr>
          <w:lang w:val="fr-BE"/>
        </w:rPr>
        <w:t xml:space="preserve"> </w:t>
      </w:r>
      <w:r w:rsidR="00285A6B" w:rsidRPr="00B26EA4">
        <w:rPr>
          <w:lang w:val="fr-BE"/>
        </w:rPr>
        <w:t xml:space="preserve">: la qualité en est un autre tout aussi important. C’est pourquoi nous vous proposons, si vous souhaitez répondre à cet appel d’offre, de réaliser une </w:t>
      </w:r>
      <w:r w:rsidR="00285A6B" w:rsidRPr="00B26EA4">
        <w:rPr>
          <w:b/>
          <w:lang w:val="fr-BE"/>
        </w:rPr>
        <w:t>traduction-test</w:t>
      </w:r>
      <w:r w:rsidR="00285A6B" w:rsidRPr="00B26EA4">
        <w:rPr>
          <w:lang w:val="fr-BE"/>
        </w:rPr>
        <w:t>.</w:t>
      </w:r>
      <w:r w:rsidR="00236114">
        <w:rPr>
          <w:lang w:val="fr-BE"/>
        </w:rPr>
        <w:t xml:space="preserve"> La traduction-test sera analysée</w:t>
      </w:r>
      <w:r w:rsidR="00E2493D">
        <w:rPr>
          <w:lang w:val="fr-BE"/>
        </w:rPr>
        <w:t xml:space="preserve"> de manière anonyme par le comité d'évaluation et par des membres de l'équipe d'ASF maîtrisant </w:t>
      </w:r>
      <w:r w:rsidR="00D844D2">
        <w:rPr>
          <w:lang w:val="fr-BE"/>
        </w:rPr>
        <w:t xml:space="preserve">le néerlandais. </w:t>
      </w:r>
    </w:p>
    <w:p w:rsidR="00285A6B" w:rsidRPr="00B26EA4" w:rsidRDefault="00285A6B" w:rsidP="00B26EA4">
      <w:pPr>
        <w:jc w:val="both"/>
        <w:rPr>
          <w:lang w:val="fr-BE"/>
        </w:rPr>
      </w:pPr>
    </w:p>
    <w:p w:rsidR="00285A6B" w:rsidRPr="00B26EA4" w:rsidRDefault="00285A6B" w:rsidP="00B26EA4">
      <w:pPr>
        <w:jc w:val="both"/>
        <w:rPr>
          <w:lang w:val="fr-BE"/>
        </w:rPr>
      </w:pPr>
      <w:r w:rsidRPr="00B26EA4">
        <w:rPr>
          <w:lang w:val="fr-BE"/>
        </w:rPr>
        <w:t>Le choix du fournisseur se fera donc sur base de différents critères, notamment</w:t>
      </w:r>
      <w:r w:rsidR="00722449">
        <w:rPr>
          <w:lang w:val="fr-BE"/>
        </w:rPr>
        <w:t xml:space="preserve"> </w:t>
      </w:r>
      <w:r w:rsidRPr="00B26EA4">
        <w:rPr>
          <w:lang w:val="fr-BE"/>
        </w:rPr>
        <w:t xml:space="preserve">: </w:t>
      </w:r>
    </w:p>
    <w:p w:rsidR="00285A6B" w:rsidRPr="00B26EA4" w:rsidRDefault="00582F0A" w:rsidP="00B26EA4">
      <w:pPr>
        <w:pStyle w:val="Paragraphedeliste"/>
        <w:numPr>
          <w:ilvl w:val="0"/>
          <w:numId w:val="21"/>
        </w:numPr>
        <w:rPr>
          <w:b/>
          <w:u w:val="single"/>
          <w:lang w:val="fr-BE"/>
        </w:rPr>
      </w:pPr>
      <w:r w:rsidRPr="00B26EA4">
        <w:rPr>
          <w:lang w:val="fr-BE"/>
        </w:rPr>
        <w:t>M</w:t>
      </w:r>
      <w:r w:rsidR="00285A6B" w:rsidRPr="00B26EA4">
        <w:rPr>
          <w:lang w:val="fr-BE"/>
        </w:rPr>
        <w:t>ontant de l'offre</w:t>
      </w:r>
      <w:r w:rsidRPr="00B26EA4">
        <w:rPr>
          <w:lang w:val="fr-BE"/>
        </w:rPr>
        <w:t>.</w:t>
      </w:r>
    </w:p>
    <w:p w:rsidR="00285A6B" w:rsidRPr="00B26EA4" w:rsidRDefault="00582F0A" w:rsidP="00B26EA4">
      <w:pPr>
        <w:pStyle w:val="Paragraphedeliste"/>
        <w:numPr>
          <w:ilvl w:val="0"/>
          <w:numId w:val="21"/>
        </w:numPr>
        <w:rPr>
          <w:b/>
          <w:u w:val="single"/>
          <w:lang w:val="fr-BE"/>
        </w:rPr>
      </w:pPr>
      <w:r w:rsidRPr="00B26EA4">
        <w:rPr>
          <w:lang w:val="fr-BE"/>
        </w:rPr>
        <w:t>Q</w:t>
      </w:r>
      <w:r w:rsidR="00285A6B" w:rsidRPr="00B26EA4">
        <w:rPr>
          <w:lang w:val="fr-BE"/>
        </w:rPr>
        <w:t>ualité de la traduction-test</w:t>
      </w:r>
      <w:r w:rsidR="009F1FC2">
        <w:rPr>
          <w:lang w:val="fr-BE"/>
        </w:rPr>
        <w:t xml:space="preserve"> (respect du sens, fluidité, utilisation du vocabulaire adéquat).</w:t>
      </w:r>
    </w:p>
    <w:p w:rsidR="00582F0A" w:rsidRPr="009F1FC2" w:rsidRDefault="00582F0A" w:rsidP="00B26EA4">
      <w:pPr>
        <w:pStyle w:val="Paragraphedeliste"/>
        <w:numPr>
          <w:ilvl w:val="0"/>
          <w:numId w:val="21"/>
        </w:numPr>
        <w:rPr>
          <w:b/>
          <w:u w:val="single"/>
          <w:lang w:val="fr-BE"/>
        </w:rPr>
      </w:pPr>
      <w:r w:rsidRPr="00B26EA4">
        <w:rPr>
          <w:lang w:val="fr-BE"/>
        </w:rPr>
        <w:t>Expérience du fournisseur (pertinence des références</w:t>
      </w:r>
      <w:r w:rsidR="00B26EA4" w:rsidRPr="00B26EA4">
        <w:rPr>
          <w:lang w:val="fr-BE"/>
        </w:rPr>
        <w:t>-clients</w:t>
      </w:r>
      <w:r w:rsidRPr="00B26EA4">
        <w:rPr>
          <w:lang w:val="fr-BE"/>
        </w:rPr>
        <w:t xml:space="preserve"> fournies).</w:t>
      </w:r>
    </w:p>
    <w:p w:rsidR="009F1FC2" w:rsidRPr="00B26EA4" w:rsidRDefault="009F1FC2" w:rsidP="009F1FC2">
      <w:pPr>
        <w:pStyle w:val="Paragraphedeliste"/>
        <w:numPr>
          <w:ilvl w:val="0"/>
          <w:numId w:val="21"/>
        </w:numPr>
        <w:rPr>
          <w:b/>
          <w:u w:val="single"/>
          <w:lang w:val="fr-BE"/>
        </w:rPr>
      </w:pPr>
      <w:r>
        <w:rPr>
          <w:lang w:val="fr-BE"/>
        </w:rPr>
        <w:t>Capacité confirmée de livrer les traductions dans les délais demandés.</w:t>
      </w:r>
    </w:p>
    <w:p w:rsidR="00B26EA4" w:rsidRDefault="001E21AC" w:rsidP="00B26EA4">
      <w:pPr>
        <w:pStyle w:val="Paragraphedeliste"/>
        <w:numPr>
          <w:ilvl w:val="0"/>
          <w:numId w:val="21"/>
        </w:numPr>
        <w:rPr>
          <w:bCs/>
          <w:lang w:val="fr-BE"/>
        </w:rPr>
      </w:pPr>
      <w:r w:rsidRPr="001E21AC">
        <w:rPr>
          <w:bCs/>
          <w:lang w:val="fr-BE"/>
        </w:rPr>
        <w:t>Types de services après-vente offerts (à compléter dans l'annexe B).</w:t>
      </w:r>
    </w:p>
    <w:p w:rsidR="00E2493D" w:rsidRPr="001E21AC" w:rsidRDefault="00E2493D" w:rsidP="00E2493D">
      <w:pPr>
        <w:pStyle w:val="Paragraphedeliste"/>
        <w:numPr>
          <w:ilvl w:val="0"/>
          <w:numId w:val="21"/>
        </w:numPr>
        <w:rPr>
          <w:bCs/>
          <w:lang w:val="fr-BE"/>
        </w:rPr>
      </w:pPr>
      <w:r>
        <w:rPr>
          <w:bCs/>
          <w:lang w:val="fr-BE"/>
        </w:rPr>
        <w:t>Autres informations pertinentes.</w:t>
      </w:r>
    </w:p>
    <w:p w:rsidR="00582F0A" w:rsidRPr="00B26EA4" w:rsidRDefault="00582F0A" w:rsidP="00B26EA4">
      <w:pPr>
        <w:pStyle w:val="Paragraphedeliste"/>
        <w:ind w:left="1440"/>
        <w:rPr>
          <w:lang w:val="fr-BE"/>
        </w:rPr>
      </w:pPr>
    </w:p>
    <w:p w:rsidR="00393518" w:rsidRPr="00B26EA4" w:rsidRDefault="00D844D2" w:rsidP="001E21AC">
      <w:pPr>
        <w:jc w:val="both"/>
        <w:rPr>
          <w:lang w:val="fr-BE"/>
        </w:rPr>
      </w:pPr>
      <w:r>
        <w:rPr>
          <w:lang w:val="fr-BE"/>
        </w:rPr>
        <w:t>Aprè</w:t>
      </w:r>
      <w:r w:rsidR="00393518" w:rsidRPr="00B26EA4">
        <w:rPr>
          <w:lang w:val="fr-BE"/>
        </w:rPr>
        <w:t>s évaluation et comparaison des offres, ASF décidera de l’attribu</w:t>
      </w:r>
      <w:r>
        <w:rPr>
          <w:lang w:val="fr-BE"/>
        </w:rPr>
        <w:t xml:space="preserve">tion du marché et notifiera le </w:t>
      </w:r>
      <w:r w:rsidR="00393518" w:rsidRPr="00B26EA4">
        <w:rPr>
          <w:lang w:val="fr-BE"/>
        </w:rPr>
        <w:t>s</w:t>
      </w:r>
      <w:r>
        <w:rPr>
          <w:lang w:val="fr-BE"/>
        </w:rPr>
        <w:t>oumissionnaire retenu par courriel que son offre a été acceptée</w:t>
      </w:r>
      <w:r w:rsidR="00393518" w:rsidRPr="00B26EA4">
        <w:rPr>
          <w:lang w:val="fr-BE"/>
        </w:rPr>
        <w:t>. Les soumissionnaires non sélectionnés seront informés de la décision prise. Cette décisi</w:t>
      </w:r>
      <w:r w:rsidR="001E21AC">
        <w:rPr>
          <w:lang w:val="fr-BE"/>
        </w:rPr>
        <w:t xml:space="preserve">on sera sans appel ni recours. </w:t>
      </w:r>
      <w:r w:rsidR="008606AD">
        <w:rPr>
          <w:lang w:val="fr-BE"/>
        </w:rPr>
        <w:t xml:space="preserve">ASF retiendra </w:t>
      </w:r>
      <w:r w:rsidR="00393518" w:rsidRPr="00B26EA4">
        <w:rPr>
          <w:lang w:val="fr-BE"/>
        </w:rPr>
        <w:t>dans ses archives les dossiers des soumissionnaires non adjudiqués. Les soumissionnaires seront informés de la décision p</w:t>
      </w:r>
      <w:r w:rsidR="008606AD">
        <w:rPr>
          <w:lang w:val="fr-BE"/>
        </w:rPr>
        <w:t>rise dans le mois suivant la date limite de réception des offres.</w:t>
      </w:r>
    </w:p>
    <w:p w:rsidR="00285A6B" w:rsidRPr="00B26EA4" w:rsidRDefault="00285A6B" w:rsidP="00B26EA4">
      <w:pPr>
        <w:jc w:val="both"/>
        <w:rPr>
          <w:lang w:val="fr-BE"/>
        </w:rPr>
      </w:pPr>
    </w:p>
    <w:p w:rsidR="00393518" w:rsidRPr="008606AD" w:rsidRDefault="00393518" w:rsidP="006D0C35">
      <w:pPr>
        <w:rPr>
          <w:b/>
          <w:u w:val="single"/>
          <w:lang w:val="fr-BE"/>
        </w:rPr>
      </w:pPr>
      <w:r w:rsidRPr="008606AD">
        <w:rPr>
          <w:b/>
          <w:lang w:val="fr-BE"/>
        </w:rPr>
        <w:t xml:space="preserve">La convention portera sur la période </w:t>
      </w:r>
      <w:r w:rsidR="008606AD">
        <w:rPr>
          <w:b/>
          <w:lang w:val="fr-BE"/>
        </w:rPr>
        <w:t>01</w:t>
      </w:r>
      <w:r w:rsidR="008606AD" w:rsidRPr="008606AD">
        <w:rPr>
          <w:b/>
          <w:lang w:val="fr-BE"/>
        </w:rPr>
        <w:t>.</w:t>
      </w:r>
      <w:r w:rsidR="00722449">
        <w:rPr>
          <w:b/>
          <w:lang w:val="fr-BE"/>
        </w:rPr>
        <w:t>07</w:t>
      </w:r>
      <w:r w:rsidR="008606AD">
        <w:rPr>
          <w:b/>
          <w:lang w:val="fr-BE"/>
        </w:rPr>
        <w:t>.</w:t>
      </w:r>
      <w:r w:rsidR="008606AD" w:rsidRPr="008606AD">
        <w:rPr>
          <w:b/>
          <w:lang w:val="fr-BE"/>
        </w:rPr>
        <w:t>2020</w:t>
      </w:r>
      <w:r w:rsidR="004D4346" w:rsidRPr="008606AD">
        <w:rPr>
          <w:b/>
          <w:lang w:val="fr-BE"/>
        </w:rPr>
        <w:t xml:space="preserve"> &gt; 31.12</w:t>
      </w:r>
      <w:r w:rsidR="007F7BAA">
        <w:rPr>
          <w:b/>
          <w:lang w:val="fr-BE"/>
        </w:rPr>
        <w:t>.2022</w:t>
      </w:r>
      <w:r w:rsidRPr="008606AD">
        <w:rPr>
          <w:b/>
          <w:lang w:val="fr-BE"/>
        </w:rPr>
        <w:t>.</w:t>
      </w:r>
    </w:p>
    <w:p w:rsidR="00146CCE" w:rsidRPr="00B26EA4" w:rsidRDefault="00146CCE" w:rsidP="00B26EA4">
      <w:pPr>
        <w:pStyle w:val="Paragraphedeliste"/>
        <w:ind w:left="0"/>
        <w:rPr>
          <w:lang w:val="fr-BE"/>
        </w:rPr>
      </w:pPr>
    </w:p>
    <w:p w:rsidR="00285A6B" w:rsidRPr="00B26EA4" w:rsidRDefault="00B26EA4" w:rsidP="00B26EA4">
      <w:pPr>
        <w:rPr>
          <w:b/>
          <w:u w:val="single"/>
          <w:lang w:val="fr-BE"/>
        </w:rPr>
      </w:pPr>
      <w:r>
        <w:rPr>
          <w:b/>
          <w:u w:val="single"/>
          <w:lang w:val="fr-BE"/>
        </w:rPr>
        <w:lastRenderedPageBreak/>
        <w:t xml:space="preserve">5. </w:t>
      </w:r>
      <w:r w:rsidR="00926E7C" w:rsidRPr="00B26EA4">
        <w:rPr>
          <w:b/>
          <w:u w:val="single"/>
          <w:lang w:val="fr-BE"/>
        </w:rPr>
        <w:t>Mode de tr</w:t>
      </w:r>
      <w:r w:rsidR="00285A6B" w:rsidRPr="00B26EA4">
        <w:rPr>
          <w:b/>
          <w:u w:val="single"/>
          <w:lang w:val="fr-BE"/>
        </w:rPr>
        <w:t>ansmission des offres financières et des traductions-test</w:t>
      </w:r>
    </w:p>
    <w:p w:rsidR="00285A6B" w:rsidRPr="00B26EA4" w:rsidRDefault="00285A6B" w:rsidP="00B26EA4">
      <w:pPr>
        <w:rPr>
          <w:lang w:val="fr-BE"/>
        </w:rPr>
      </w:pPr>
    </w:p>
    <w:p w:rsidR="00926E7C" w:rsidRPr="00B26EA4" w:rsidRDefault="00285A6B" w:rsidP="00B26EA4">
      <w:pPr>
        <w:rPr>
          <w:lang w:val="fr-BE"/>
        </w:rPr>
      </w:pPr>
      <w:r w:rsidRPr="00B26EA4">
        <w:rPr>
          <w:lang w:val="fr-BE"/>
        </w:rPr>
        <w:t>P</w:t>
      </w:r>
      <w:r w:rsidR="00926E7C" w:rsidRPr="00B26EA4">
        <w:rPr>
          <w:lang w:val="fr-BE"/>
        </w:rPr>
        <w:t>ar courrie</w:t>
      </w:r>
      <w:r w:rsidRPr="00B26EA4">
        <w:rPr>
          <w:lang w:val="fr-BE"/>
        </w:rPr>
        <w:t xml:space="preserve">l </w:t>
      </w:r>
      <w:r w:rsidR="00926E7C" w:rsidRPr="00B26EA4">
        <w:rPr>
          <w:lang w:val="fr-BE"/>
        </w:rPr>
        <w:t>à l'adresse</w:t>
      </w:r>
      <w:r w:rsidR="00D844D2">
        <w:rPr>
          <w:lang w:val="fr-BE"/>
        </w:rPr>
        <w:t xml:space="preserve"> </w:t>
      </w:r>
      <w:r w:rsidR="007F7BAA">
        <w:rPr>
          <w:lang w:val="fr-BE"/>
        </w:rPr>
        <w:t>smallet</w:t>
      </w:r>
      <w:r w:rsidR="00C45B49">
        <w:rPr>
          <w:lang w:val="fr-BE"/>
        </w:rPr>
        <w:t>@asf.be</w:t>
      </w:r>
      <w:r w:rsidRPr="00B26EA4">
        <w:rPr>
          <w:lang w:val="fr-BE"/>
        </w:rPr>
        <w:t>.</w:t>
      </w:r>
    </w:p>
    <w:p w:rsidR="0004396B" w:rsidRDefault="0004396B" w:rsidP="00B26EA4">
      <w:pPr>
        <w:rPr>
          <w:b/>
          <w:u w:val="single"/>
          <w:lang w:val="fr-BE"/>
        </w:rPr>
      </w:pPr>
      <w:bookmarkStart w:id="1" w:name="_Toc66855901"/>
      <w:bookmarkStart w:id="2" w:name="_Toc66856039"/>
      <w:bookmarkStart w:id="3" w:name="_Toc98923976"/>
      <w:bookmarkStart w:id="4" w:name="_Toc66765000"/>
      <w:bookmarkStart w:id="5" w:name="_Toc107907518"/>
      <w:bookmarkStart w:id="6" w:name="_Toc111358594"/>
    </w:p>
    <w:p w:rsidR="00633759" w:rsidRPr="00B26EA4" w:rsidRDefault="00B26EA4" w:rsidP="00B26EA4">
      <w:pPr>
        <w:rPr>
          <w:b/>
          <w:u w:val="single"/>
          <w:lang w:val="fr-BE"/>
        </w:rPr>
      </w:pPr>
      <w:r>
        <w:rPr>
          <w:b/>
          <w:u w:val="single"/>
          <w:lang w:val="fr-BE"/>
        </w:rPr>
        <w:t xml:space="preserve">6. </w:t>
      </w:r>
      <w:r w:rsidR="00633759" w:rsidRPr="00B26EA4">
        <w:rPr>
          <w:b/>
          <w:u w:val="single"/>
          <w:lang w:val="fr-BE"/>
        </w:rPr>
        <w:t>Probité et éthique</w:t>
      </w:r>
      <w:bookmarkEnd w:id="1"/>
      <w:bookmarkEnd w:id="2"/>
      <w:bookmarkEnd w:id="3"/>
      <w:bookmarkEnd w:id="4"/>
      <w:bookmarkEnd w:id="5"/>
      <w:bookmarkEnd w:id="6"/>
    </w:p>
    <w:p w:rsidR="00633759" w:rsidRPr="00B26EA4" w:rsidRDefault="00633759" w:rsidP="00B26EA4">
      <w:pPr>
        <w:rPr>
          <w:b/>
          <w:lang w:val="fr-BE"/>
        </w:rPr>
      </w:pPr>
    </w:p>
    <w:p w:rsidR="00633759" w:rsidRPr="00B26EA4" w:rsidRDefault="00633759" w:rsidP="00B26EA4">
      <w:pPr>
        <w:tabs>
          <w:tab w:val="left" w:pos="720"/>
          <w:tab w:val="left" w:pos="1440"/>
        </w:tabs>
        <w:jc w:val="both"/>
        <w:rPr>
          <w:rFonts w:cs="Arial"/>
          <w:lang w:val="fr-BE"/>
        </w:rPr>
      </w:pPr>
      <w:r w:rsidRPr="00B26EA4">
        <w:rPr>
          <w:rFonts w:cs="Arial"/>
          <w:lang w:val="fr-BE"/>
        </w:rPr>
        <w:t>Dans ses démarches en matière d’achats, ASF s’efforce de respecter les normes éthiques et professionnelle</w:t>
      </w:r>
      <w:r w:rsidR="001E21AC">
        <w:rPr>
          <w:rFonts w:cs="Arial"/>
          <w:lang w:val="fr-BE"/>
        </w:rPr>
        <w:t xml:space="preserve">s les plus élevées du domaine. </w:t>
      </w:r>
      <w:r w:rsidRPr="00B26EA4">
        <w:rPr>
          <w:rFonts w:cs="Arial"/>
          <w:lang w:val="fr-BE"/>
        </w:rPr>
        <w:t>ASF interdit strictement et ne tolère en aucune façon la corruption ainsi que les pratiques frauduleuses telles que la contrefaçon. En soumissionnant à cet appel d’offre, les fournisseurs s’engagent à respecter strictement cette ligne de conduite et à éviter sa violation, qu’elle soit possible ou même en apparence.</w:t>
      </w:r>
    </w:p>
    <w:p w:rsidR="00633759" w:rsidRPr="00B26EA4" w:rsidRDefault="00633759" w:rsidP="00B26EA4">
      <w:pPr>
        <w:rPr>
          <w:b/>
          <w:u w:val="single"/>
          <w:lang w:val="fr-BE"/>
        </w:rPr>
      </w:pPr>
    </w:p>
    <w:p w:rsidR="005824B6" w:rsidRPr="00B26EA4" w:rsidRDefault="00B26EA4" w:rsidP="00B26EA4">
      <w:pPr>
        <w:rPr>
          <w:b/>
          <w:u w:val="single"/>
          <w:lang w:val="fr-BE"/>
        </w:rPr>
      </w:pPr>
      <w:r>
        <w:rPr>
          <w:b/>
          <w:u w:val="single"/>
          <w:lang w:val="fr-BE"/>
        </w:rPr>
        <w:t xml:space="preserve">7. </w:t>
      </w:r>
      <w:r w:rsidR="005824B6" w:rsidRPr="00B26EA4">
        <w:rPr>
          <w:b/>
          <w:u w:val="single"/>
          <w:lang w:val="fr-BE"/>
        </w:rPr>
        <w:t>Annexes</w:t>
      </w:r>
    </w:p>
    <w:p w:rsidR="005824B6" w:rsidRPr="00B26EA4" w:rsidRDefault="005824B6" w:rsidP="00B26EA4">
      <w:pPr>
        <w:rPr>
          <w:lang w:val="fr-BE"/>
        </w:rPr>
      </w:pPr>
    </w:p>
    <w:p w:rsidR="00633759" w:rsidRPr="00B26EA4" w:rsidRDefault="00633759" w:rsidP="00B26EA4">
      <w:pPr>
        <w:pStyle w:val="Paragraphedeliste"/>
        <w:numPr>
          <w:ilvl w:val="0"/>
          <w:numId w:val="15"/>
        </w:numPr>
        <w:rPr>
          <w:lang w:val="fr-BE"/>
        </w:rPr>
      </w:pPr>
      <w:r w:rsidRPr="00B26EA4">
        <w:rPr>
          <w:lang w:val="fr-BE"/>
        </w:rPr>
        <w:t>Fiche d'identification à compléter par le soumissionnaire et à joindre à son offre.</w:t>
      </w:r>
    </w:p>
    <w:p w:rsidR="00633759" w:rsidRPr="00B26EA4" w:rsidRDefault="00633759" w:rsidP="00B26EA4">
      <w:pPr>
        <w:pStyle w:val="Paragraphedeliste"/>
        <w:numPr>
          <w:ilvl w:val="0"/>
          <w:numId w:val="15"/>
        </w:numPr>
        <w:rPr>
          <w:lang w:val="fr-BE"/>
        </w:rPr>
      </w:pPr>
      <w:r w:rsidRPr="00B26EA4">
        <w:rPr>
          <w:lang w:val="fr-BE"/>
        </w:rPr>
        <w:t>Déclaration de confidentialité et d'impartialité à compléter et signer par le soumissionnaire et à joindre à son offre.</w:t>
      </w:r>
    </w:p>
    <w:p w:rsidR="004D4346" w:rsidRPr="00B26EA4" w:rsidRDefault="004D4346" w:rsidP="001E21AC">
      <w:pPr>
        <w:pStyle w:val="Paragraphedeliste"/>
        <w:numPr>
          <w:ilvl w:val="0"/>
          <w:numId w:val="15"/>
        </w:numPr>
        <w:rPr>
          <w:lang w:val="fr-BE"/>
        </w:rPr>
      </w:pPr>
      <w:r w:rsidRPr="00B26EA4">
        <w:rPr>
          <w:lang w:val="fr-BE"/>
        </w:rPr>
        <w:t>Traduction test</w:t>
      </w:r>
      <w:r w:rsidR="00161C84">
        <w:rPr>
          <w:lang w:val="fr-BE"/>
        </w:rPr>
        <w:t xml:space="preserve"> à joindre à l'offre</w:t>
      </w:r>
      <w:r w:rsidRPr="00B26EA4">
        <w:rPr>
          <w:lang w:val="fr-BE"/>
        </w:rPr>
        <w:t>.</w:t>
      </w:r>
    </w:p>
    <w:p w:rsidR="00926E7C" w:rsidRPr="00B26EA4" w:rsidRDefault="00926E7C" w:rsidP="00B26EA4">
      <w:pPr>
        <w:jc w:val="right"/>
        <w:rPr>
          <w:lang w:val="fr-BE"/>
        </w:rPr>
      </w:pPr>
    </w:p>
    <w:p w:rsidR="00633759" w:rsidRPr="00B26EA4" w:rsidRDefault="00B26EA4" w:rsidP="00B26EA4">
      <w:pPr>
        <w:rPr>
          <w:b/>
          <w:u w:val="single"/>
          <w:lang w:val="fr-BE"/>
        </w:rPr>
      </w:pPr>
      <w:r>
        <w:rPr>
          <w:b/>
          <w:u w:val="single"/>
          <w:lang w:val="fr-BE"/>
        </w:rPr>
        <w:t xml:space="preserve">8. </w:t>
      </w:r>
      <w:r w:rsidR="00633759" w:rsidRPr="00B26EA4">
        <w:rPr>
          <w:b/>
          <w:u w:val="single"/>
          <w:lang w:val="fr-BE"/>
        </w:rPr>
        <w:t>Demandes de renseignement</w:t>
      </w:r>
    </w:p>
    <w:p w:rsidR="00633759" w:rsidRPr="00B26EA4" w:rsidRDefault="00633759" w:rsidP="00B26EA4">
      <w:pPr>
        <w:rPr>
          <w:lang w:val="fr-BE"/>
        </w:rPr>
      </w:pPr>
    </w:p>
    <w:p w:rsidR="00633759" w:rsidRPr="00B26EA4" w:rsidRDefault="00D844D2" w:rsidP="00B26EA4">
      <w:pPr>
        <w:rPr>
          <w:lang w:val="fr-BE"/>
        </w:rPr>
      </w:pPr>
      <w:r>
        <w:rPr>
          <w:lang w:val="fr-BE"/>
        </w:rPr>
        <w:t>Simon Mallet</w:t>
      </w:r>
    </w:p>
    <w:p w:rsidR="00633759" w:rsidRPr="00B26EA4" w:rsidRDefault="00D844D2" w:rsidP="00B26EA4">
      <w:pPr>
        <w:rPr>
          <w:lang w:val="fr-BE"/>
        </w:rPr>
      </w:pPr>
      <w:r>
        <w:rPr>
          <w:lang w:val="fr-BE"/>
        </w:rPr>
        <w:t>Chargé</w:t>
      </w:r>
      <w:r w:rsidR="00633759" w:rsidRPr="00B26EA4">
        <w:rPr>
          <w:lang w:val="fr-BE"/>
        </w:rPr>
        <w:t xml:space="preserve"> de communication</w:t>
      </w:r>
    </w:p>
    <w:p w:rsidR="00633759" w:rsidRPr="00B26EA4" w:rsidRDefault="00633759" w:rsidP="00B26EA4">
      <w:pPr>
        <w:rPr>
          <w:lang w:val="fr-BE"/>
        </w:rPr>
      </w:pPr>
      <w:r w:rsidRPr="00B26EA4">
        <w:rPr>
          <w:lang w:val="fr-BE"/>
        </w:rPr>
        <w:t>Avocats Sans Frontières</w:t>
      </w:r>
    </w:p>
    <w:p w:rsidR="00633759" w:rsidRPr="00B26EA4" w:rsidRDefault="00B26EA4" w:rsidP="00B26EA4">
      <w:pPr>
        <w:rPr>
          <w:lang w:val="fr-BE"/>
        </w:rPr>
      </w:pPr>
      <w:r>
        <w:rPr>
          <w:lang w:val="fr-BE"/>
        </w:rPr>
        <w:t>02 223 36 54</w:t>
      </w:r>
    </w:p>
    <w:p w:rsidR="00633759" w:rsidRPr="00B26EA4" w:rsidRDefault="00D844D2" w:rsidP="00B26EA4">
      <w:pPr>
        <w:rPr>
          <w:lang w:val="fr-BE"/>
        </w:rPr>
      </w:pPr>
      <w:r>
        <w:rPr>
          <w:lang w:val="fr-BE"/>
        </w:rPr>
        <w:t>0477 63 68 50</w:t>
      </w:r>
    </w:p>
    <w:p w:rsidR="00633759" w:rsidRPr="00B26EA4" w:rsidRDefault="00633759" w:rsidP="00B26EA4">
      <w:pPr>
        <w:rPr>
          <w:lang w:val="fr-BE"/>
        </w:rPr>
      </w:pPr>
      <w:r w:rsidRPr="00B26EA4">
        <w:rPr>
          <w:lang w:val="fr-BE"/>
        </w:rPr>
        <w:t>s</w:t>
      </w:r>
      <w:r w:rsidR="00D844D2">
        <w:rPr>
          <w:lang w:val="fr-BE"/>
        </w:rPr>
        <w:t>mallet</w:t>
      </w:r>
      <w:r w:rsidRPr="00B26EA4">
        <w:rPr>
          <w:lang w:val="fr-BE"/>
        </w:rPr>
        <w:t>@asf.be</w:t>
      </w:r>
    </w:p>
    <w:p w:rsidR="00633759" w:rsidRPr="00B26EA4" w:rsidRDefault="00633759" w:rsidP="00B26EA4">
      <w:pPr>
        <w:rPr>
          <w:lang w:val="fr-BE"/>
        </w:rPr>
      </w:pPr>
    </w:p>
    <w:p w:rsidR="00E83F46" w:rsidRPr="00B26EA4" w:rsidRDefault="00E83F46" w:rsidP="00B26EA4">
      <w:pPr>
        <w:jc w:val="right"/>
        <w:rPr>
          <w:lang w:val="fr-BE"/>
        </w:rPr>
      </w:pPr>
    </w:p>
    <w:sectPr w:rsidR="00E83F46" w:rsidRPr="00B26EA4" w:rsidSect="00F44F63">
      <w:headerReference w:type="first" r:id="rId17"/>
      <w:footerReference w:type="first" r:id="rId18"/>
      <w:pgSz w:w="11907" w:h="16840" w:code="9"/>
      <w:pgMar w:top="1134" w:right="1134" w:bottom="2269" w:left="1134" w:header="720" w:footer="6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6E9" w:rsidRDefault="00EF06E9">
      <w:r>
        <w:separator/>
      </w:r>
    </w:p>
  </w:endnote>
  <w:endnote w:type="continuationSeparator" w:id="0">
    <w:p w:rsidR="00EF06E9" w:rsidRDefault="00EF0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OMBaskerville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C08" w:rsidRDefault="003A1C08" w:rsidP="00421FA0">
    <w:pPr>
      <w:rPr>
        <w:rFonts w:ascii="OMBaskerville" w:hAnsi="OMBaskerville"/>
        <w:sz w:val="14"/>
        <w:lang w:val="fr-FR"/>
      </w:rPr>
    </w:pPr>
    <w:r>
      <w:rPr>
        <w:rFonts w:ascii="OMBaskerville" w:hAnsi="OMBaskerville"/>
        <w:noProof/>
        <w:sz w:val="14"/>
        <w:lang w:val="en-US" w:eastAsia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-272415</wp:posOffset>
          </wp:positionH>
          <wp:positionV relativeFrom="paragraph">
            <wp:posOffset>-321945</wp:posOffset>
          </wp:positionV>
          <wp:extent cx="854710" cy="421005"/>
          <wp:effectExtent l="0" t="0" r="2540" b="0"/>
          <wp:wrapThrough wrapText="bothSides">
            <wp:wrapPolygon edited="0">
              <wp:start x="0" y="0"/>
              <wp:lineTo x="0" y="20525"/>
              <wp:lineTo x="21183" y="20525"/>
              <wp:lineTo x="21183" y="0"/>
              <wp:lineTo x="0" y="0"/>
            </wp:wrapPolygon>
          </wp:wrapThrough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F logo FR su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710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1C08" w:rsidRDefault="003A1C08">
    <w:pPr>
      <w:pStyle w:val="Pieddepage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C08" w:rsidRDefault="003A1C08" w:rsidP="00DB290D">
    <w:pPr>
      <w:pStyle w:val="Pieddepage"/>
      <w:tabs>
        <w:tab w:val="clear" w:pos="4320"/>
        <w:tab w:val="clear" w:pos="8640"/>
        <w:tab w:val="left" w:pos="7380"/>
      </w:tabs>
      <w:rPr>
        <w:noProof/>
        <w:lang w:val="fr-BE" w:eastAsia="fr-BE"/>
      </w:rPr>
    </w:pPr>
    <w:r>
      <w:rPr>
        <w:noProof/>
        <w:lang w:val="en-US" w:eastAsia="en-US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-343535</wp:posOffset>
          </wp:positionH>
          <wp:positionV relativeFrom="paragraph">
            <wp:posOffset>-1438275</wp:posOffset>
          </wp:positionV>
          <wp:extent cx="83820" cy="1594485"/>
          <wp:effectExtent l="0" t="0" r="0" b="5715"/>
          <wp:wrapThrough wrapText="bothSides">
            <wp:wrapPolygon edited="0">
              <wp:start x="0" y="0"/>
              <wp:lineTo x="0" y="21419"/>
              <wp:lineTo x="14727" y="21419"/>
              <wp:lineTo x="14727" y="0"/>
              <wp:lineTo x="0" y="0"/>
            </wp:wrapPolygon>
          </wp:wrapThrough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F Association ss but 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" cy="1594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1C08" w:rsidRDefault="003A1C08" w:rsidP="00DB290D">
    <w:pPr>
      <w:pStyle w:val="Pieddepage"/>
      <w:tabs>
        <w:tab w:val="clear" w:pos="4320"/>
        <w:tab w:val="clear" w:pos="8640"/>
        <w:tab w:val="left" w:pos="7380"/>
      </w:tabs>
      <w:rPr>
        <w:noProof/>
        <w:lang w:val="fr-BE" w:eastAsia="fr-BE"/>
      </w:rPr>
    </w:pPr>
  </w:p>
  <w:p w:rsidR="003A1C08" w:rsidRPr="00E14EB4" w:rsidRDefault="003A1C08" w:rsidP="00824158">
    <w:pPr>
      <w:pStyle w:val="Pieddepage"/>
      <w:tabs>
        <w:tab w:val="clear" w:pos="4320"/>
        <w:tab w:val="clear" w:pos="8640"/>
        <w:tab w:val="left" w:pos="7380"/>
      </w:tabs>
      <w:ind w:left="-567"/>
      <w:rPr>
        <w:lang w:val="fr-BE"/>
      </w:rPr>
    </w:pPr>
    <w:r>
      <w:rPr>
        <w:lang w:val="fr-BE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C08" w:rsidRPr="004D4346" w:rsidRDefault="003A1C08" w:rsidP="004D4346">
    <w:pPr>
      <w:pStyle w:val="Pieddepage"/>
    </w:pPr>
    <w:r w:rsidRPr="004D4346">
      <w:rPr>
        <w:noProof/>
        <w:lang w:val="en-US" w:eastAsia="en-US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-735965</wp:posOffset>
          </wp:positionH>
          <wp:positionV relativeFrom="paragraph">
            <wp:posOffset>-131445</wp:posOffset>
          </wp:positionV>
          <wp:extent cx="854710" cy="419100"/>
          <wp:effectExtent l="19050" t="0" r="2540" b="0"/>
          <wp:wrapThrough wrapText="bothSides">
            <wp:wrapPolygon edited="0">
              <wp:start x="-481" y="0"/>
              <wp:lineTo x="-481" y="20618"/>
              <wp:lineTo x="21664" y="20618"/>
              <wp:lineTo x="21664" y="0"/>
              <wp:lineTo x="-481" y="0"/>
            </wp:wrapPolygon>
          </wp:wrapThrough>
          <wp:docPr id="16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F logo FR su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71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C08" w:rsidRPr="004D4346" w:rsidRDefault="003A1C08" w:rsidP="004D4346">
    <w:pPr>
      <w:pStyle w:val="Pieddepage"/>
    </w:pPr>
    <w:r w:rsidRPr="004D4346">
      <w:rPr>
        <w:noProof/>
        <w:lang w:val="en-US" w:eastAsia="en-US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-116205</wp:posOffset>
          </wp:positionH>
          <wp:positionV relativeFrom="paragraph">
            <wp:posOffset>-387350</wp:posOffset>
          </wp:positionV>
          <wp:extent cx="854710" cy="419100"/>
          <wp:effectExtent l="19050" t="0" r="2540" b="0"/>
          <wp:wrapThrough wrapText="bothSides">
            <wp:wrapPolygon edited="0">
              <wp:start x="-481" y="0"/>
              <wp:lineTo x="-481" y="20618"/>
              <wp:lineTo x="21664" y="20618"/>
              <wp:lineTo x="21664" y="0"/>
              <wp:lineTo x="-481" y="0"/>
            </wp:wrapPolygon>
          </wp:wrapThrough>
          <wp:docPr id="15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F logo FR su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71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6E9" w:rsidRDefault="00EF06E9">
      <w:r>
        <w:separator/>
      </w:r>
    </w:p>
  </w:footnote>
  <w:footnote w:type="continuationSeparator" w:id="0">
    <w:p w:rsidR="00EF06E9" w:rsidRDefault="00EF0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C08" w:rsidRDefault="003A1C08" w:rsidP="00824158">
    <w:pPr>
      <w:pStyle w:val="En-tte"/>
    </w:pPr>
    <w:r w:rsidRPr="000E2E86">
      <w:rPr>
        <w:noProof/>
        <w:lang w:val="en-US" w:eastAsia="en-U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-377190</wp:posOffset>
          </wp:positionH>
          <wp:positionV relativeFrom="paragraph">
            <wp:posOffset>-57785</wp:posOffset>
          </wp:positionV>
          <wp:extent cx="1891665" cy="938530"/>
          <wp:effectExtent l="0" t="0" r="0" b="0"/>
          <wp:wrapTight wrapText="bothSides">
            <wp:wrapPolygon edited="0">
              <wp:start x="0" y="0"/>
              <wp:lineTo x="0" y="21045"/>
              <wp:lineTo x="21317" y="21045"/>
              <wp:lineTo x="21317" y="0"/>
              <wp:lineTo x="0" y="0"/>
            </wp:wrapPolygon>
          </wp:wrapTight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NTETE FR U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1665" cy="938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C08" w:rsidRDefault="003A1C08" w:rsidP="0082415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C08" w:rsidRDefault="003A1C08" w:rsidP="0082415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1CD6"/>
    <w:multiLevelType w:val="hybridMultilevel"/>
    <w:tmpl w:val="0096E2D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E4880"/>
    <w:multiLevelType w:val="hybridMultilevel"/>
    <w:tmpl w:val="13CCF4EC"/>
    <w:lvl w:ilvl="0" w:tplc="4490DA60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7F629B9"/>
    <w:multiLevelType w:val="hybridMultilevel"/>
    <w:tmpl w:val="9864BF10"/>
    <w:lvl w:ilvl="0" w:tplc="080C000F">
      <w:start w:val="1"/>
      <w:numFmt w:val="decimal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8D7563"/>
    <w:multiLevelType w:val="hybridMultilevel"/>
    <w:tmpl w:val="C9B4AFEC"/>
    <w:lvl w:ilvl="0" w:tplc="6D6416FC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8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75CB3"/>
    <w:multiLevelType w:val="hybridMultilevel"/>
    <w:tmpl w:val="FCDE7418"/>
    <w:lvl w:ilvl="0" w:tplc="6D6416FC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B4164"/>
    <w:multiLevelType w:val="hybridMultilevel"/>
    <w:tmpl w:val="31C6DBC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46D0C"/>
    <w:multiLevelType w:val="hybridMultilevel"/>
    <w:tmpl w:val="C0EEE6CA"/>
    <w:lvl w:ilvl="0" w:tplc="41D8763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33022"/>
    <w:multiLevelType w:val="hybridMultilevel"/>
    <w:tmpl w:val="B39E5386"/>
    <w:lvl w:ilvl="0" w:tplc="8DDA4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B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8196F"/>
    <w:multiLevelType w:val="hybridMultilevel"/>
    <w:tmpl w:val="F4B4568A"/>
    <w:lvl w:ilvl="0" w:tplc="080C0017">
      <w:start w:val="1"/>
      <w:numFmt w:val="lowerLetter"/>
      <w:lvlText w:val="%1)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406FF4"/>
    <w:multiLevelType w:val="hybridMultilevel"/>
    <w:tmpl w:val="5C12A11C"/>
    <w:lvl w:ilvl="0" w:tplc="6D6416FC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8064B"/>
    <w:multiLevelType w:val="hybridMultilevel"/>
    <w:tmpl w:val="3990C53C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67EF8"/>
    <w:multiLevelType w:val="hybridMultilevel"/>
    <w:tmpl w:val="5FD26D26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43D2D"/>
    <w:multiLevelType w:val="hybridMultilevel"/>
    <w:tmpl w:val="C9FC6F6A"/>
    <w:lvl w:ilvl="0" w:tplc="B87C103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 w:val="0"/>
        <w:i w:val="0"/>
        <w:color w:val="auto"/>
      </w:rPr>
    </w:lvl>
    <w:lvl w:ilvl="1" w:tplc="040C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auto"/>
      </w:rPr>
    </w:lvl>
    <w:lvl w:ilvl="2" w:tplc="B8A8908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B592A"/>
    <w:multiLevelType w:val="hybridMultilevel"/>
    <w:tmpl w:val="A38CDA74"/>
    <w:lvl w:ilvl="0" w:tplc="77209856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1962BB0"/>
    <w:multiLevelType w:val="hybridMultilevel"/>
    <w:tmpl w:val="60D2D6E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B5540"/>
    <w:multiLevelType w:val="hybridMultilevel"/>
    <w:tmpl w:val="512A45F0"/>
    <w:lvl w:ilvl="0" w:tplc="6D6416FC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F64A8"/>
    <w:multiLevelType w:val="hybridMultilevel"/>
    <w:tmpl w:val="BA5851C8"/>
    <w:lvl w:ilvl="0" w:tplc="6D6416FC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41D87638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b w:val="0"/>
        <w:u w:val="none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C0341"/>
    <w:multiLevelType w:val="hybridMultilevel"/>
    <w:tmpl w:val="92624FCA"/>
    <w:lvl w:ilvl="0" w:tplc="06C4DC42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619026C5"/>
    <w:multiLevelType w:val="hybridMultilevel"/>
    <w:tmpl w:val="1E9C9E2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02636C"/>
    <w:multiLevelType w:val="hybridMultilevel"/>
    <w:tmpl w:val="DDF47D7E"/>
    <w:lvl w:ilvl="0" w:tplc="6D6416FC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B78CF"/>
    <w:multiLevelType w:val="hybridMultilevel"/>
    <w:tmpl w:val="BFA0F734"/>
    <w:lvl w:ilvl="0" w:tplc="08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75894C1B"/>
    <w:multiLevelType w:val="hybridMultilevel"/>
    <w:tmpl w:val="B4E68BE4"/>
    <w:lvl w:ilvl="0" w:tplc="68E49488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2" w15:restartNumberingAfterBreak="0">
    <w:nsid w:val="770F3DD4"/>
    <w:multiLevelType w:val="hybridMultilevel"/>
    <w:tmpl w:val="4B00CDF2"/>
    <w:lvl w:ilvl="0" w:tplc="6D6416FC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9C3EA7"/>
    <w:multiLevelType w:val="hybridMultilevel"/>
    <w:tmpl w:val="1A2E9546"/>
    <w:lvl w:ilvl="0" w:tplc="6D6416FC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21"/>
  </w:num>
  <w:num w:numId="4">
    <w:abstractNumId w:val="12"/>
  </w:num>
  <w:num w:numId="5">
    <w:abstractNumId w:val="18"/>
  </w:num>
  <w:num w:numId="6">
    <w:abstractNumId w:val="23"/>
  </w:num>
  <w:num w:numId="7">
    <w:abstractNumId w:val="19"/>
  </w:num>
  <w:num w:numId="8">
    <w:abstractNumId w:val="7"/>
  </w:num>
  <w:num w:numId="9">
    <w:abstractNumId w:val="11"/>
  </w:num>
  <w:num w:numId="10">
    <w:abstractNumId w:val="3"/>
  </w:num>
  <w:num w:numId="11">
    <w:abstractNumId w:val="22"/>
  </w:num>
  <w:num w:numId="12">
    <w:abstractNumId w:val="0"/>
  </w:num>
  <w:num w:numId="13">
    <w:abstractNumId w:val="20"/>
  </w:num>
  <w:num w:numId="14">
    <w:abstractNumId w:val="15"/>
  </w:num>
  <w:num w:numId="15">
    <w:abstractNumId w:val="10"/>
  </w:num>
  <w:num w:numId="16">
    <w:abstractNumId w:val="9"/>
  </w:num>
  <w:num w:numId="17">
    <w:abstractNumId w:val="8"/>
  </w:num>
  <w:num w:numId="18">
    <w:abstractNumId w:val="2"/>
  </w:num>
  <w:num w:numId="19">
    <w:abstractNumId w:val="14"/>
  </w:num>
  <w:num w:numId="20">
    <w:abstractNumId w:val="4"/>
  </w:num>
  <w:num w:numId="21">
    <w:abstractNumId w:val="16"/>
  </w:num>
  <w:num w:numId="22">
    <w:abstractNumId w:val="6"/>
  </w:num>
  <w:num w:numId="23">
    <w:abstractNumId w:val="1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B6"/>
    <w:rsid w:val="00010302"/>
    <w:rsid w:val="000138A3"/>
    <w:rsid w:val="0002264A"/>
    <w:rsid w:val="000324D4"/>
    <w:rsid w:val="0004396B"/>
    <w:rsid w:val="00053433"/>
    <w:rsid w:val="00057BCA"/>
    <w:rsid w:val="000B192B"/>
    <w:rsid w:val="000E2E86"/>
    <w:rsid w:val="00146CCE"/>
    <w:rsid w:val="001539A7"/>
    <w:rsid w:val="00161C84"/>
    <w:rsid w:val="00177006"/>
    <w:rsid w:val="00193C6A"/>
    <w:rsid w:val="001E21AC"/>
    <w:rsid w:val="001E4410"/>
    <w:rsid w:val="00202B9E"/>
    <w:rsid w:val="00204F7A"/>
    <w:rsid w:val="0021113F"/>
    <w:rsid w:val="00227091"/>
    <w:rsid w:val="002350DF"/>
    <w:rsid w:val="00236114"/>
    <w:rsid w:val="00246CDA"/>
    <w:rsid w:val="00277CDE"/>
    <w:rsid w:val="00285A6B"/>
    <w:rsid w:val="003218CF"/>
    <w:rsid w:val="0033363B"/>
    <w:rsid w:val="003666A7"/>
    <w:rsid w:val="00393518"/>
    <w:rsid w:val="003A115D"/>
    <w:rsid w:val="003A1C08"/>
    <w:rsid w:val="003F202C"/>
    <w:rsid w:val="00421FA0"/>
    <w:rsid w:val="00430A86"/>
    <w:rsid w:val="004D4346"/>
    <w:rsid w:val="00527D7E"/>
    <w:rsid w:val="00561675"/>
    <w:rsid w:val="005824B6"/>
    <w:rsid w:val="00582F0A"/>
    <w:rsid w:val="00593BAE"/>
    <w:rsid w:val="005945B8"/>
    <w:rsid w:val="005D6621"/>
    <w:rsid w:val="005E0482"/>
    <w:rsid w:val="005F27A3"/>
    <w:rsid w:val="00613EE9"/>
    <w:rsid w:val="00633759"/>
    <w:rsid w:val="006D0C35"/>
    <w:rsid w:val="006E0AA4"/>
    <w:rsid w:val="00712E8A"/>
    <w:rsid w:val="00722449"/>
    <w:rsid w:val="007666CD"/>
    <w:rsid w:val="007944DD"/>
    <w:rsid w:val="007B0FFE"/>
    <w:rsid w:val="007C554C"/>
    <w:rsid w:val="007D4D18"/>
    <w:rsid w:val="007F7BAA"/>
    <w:rsid w:val="00820574"/>
    <w:rsid w:val="00824158"/>
    <w:rsid w:val="00831941"/>
    <w:rsid w:val="008606AD"/>
    <w:rsid w:val="00874D97"/>
    <w:rsid w:val="0088566B"/>
    <w:rsid w:val="008C1AC7"/>
    <w:rsid w:val="008C2B7D"/>
    <w:rsid w:val="008D418C"/>
    <w:rsid w:val="008D6FBA"/>
    <w:rsid w:val="008E2CD8"/>
    <w:rsid w:val="00902A44"/>
    <w:rsid w:val="00910583"/>
    <w:rsid w:val="00920974"/>
    <w:rsid w:val="00926E7C"/>
    <w:rsid w:val="009318BF"/>
    <w:rsid w:val="00940878"/>
    <w:rsid w:val="00946008"/>
    <w:rsid w:val="0097454F"/>
    <w:rsid w:val="00974CD8"/>
    <w:rsid w:val="009C7F4A"/>
    <w:rsid w:val="009D0334"/>
    <w:rsid w:val="009F1FC2"/>
    <w:rsid w:val="00A679CC"/>
    <w:rsid w:val="00A7036D"/>
    <w:rsid w:val="00A73EC4"/>
    <w:rsid w:val="00AA4664"/>
    <w:rsid w:val="00AD415F"/>
    <w:rsid w:val="00B234D5"/>
    <w:rsid w:val="00B26EA4"/>
    <w:rsid w:val="00B3016F"/>
    <w:rsid w:val="00B4623E"/>
    <w:rsid w:val="00B47D2A"/>
    <w:rsid w:val="00B55539"/>
    <w:rsid w:val="00B63F28"/>
    <w:rsid w:val="00B66DC3"/>
    <w:rsid w:val="00B714D5"/>
    <w:rsid w:val="00B7430A"/>
    <w:rsid w:val="00BE2B91"/>
    <w:rsid w:val="00BE6D84"/>
    <w:rsid w:val="00C03A1B"/>
    <w:rsid w:val="00C10F0B"/>
    <w:rsid w:val="00C22151"/>
    <w:rsid w:val="00C45B49"/>
    <w:rsid w:val="00C64104"/>
    <w:rsid w:val="00C909AD"/>
    <w:rsid w:val="00CE3BA1"/>
    <w:rsid w:val="00CF2F34"/>
    <w:rsid w:val="00D069C2"/>
    <w:rsid w:val="00D613B1"/>
    <w:rsid w:val="00D62512"/>
    <w:rsid w:val="00D70F49"/>
    <w:rsid w:val="00D72D9D"/>
    <w:rsid w:val="00D844D2"/>
    <w:rsid w:val="00D90104"/>
    <w:rsid w:val="00DB290D"/>
    <w:rsid w:val="00DB6DA1"/>
    <w:rsid w:val="00DF15B7"/>
    <w:rsid w:val="00E14EB4"/>
    <w:rsid w:val="00E21785"/>
    <w:rsid w:val="00E2493D"/>
    <w:rsid w:val="00E83F46"/>
    <w:rsid w:val="00ED3FB5"/>
    <w:rsid w:val="00EF06E9"/>
    <w:rsid w:val="00F41850"/>
    <w:rsid w:val="00F44F63"/>
    <w:rsid w:val="00F843BB"/>
    <w:rsid w:val="00FB5074"/>
    <w:rsid w:val="00FE40BB"/>
    <w:rsid w:val="00FE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1D393A"/>
  <w15:docId w15:val="{9FD4EA08-57E6-4E89-A69A-97A0FC85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B7D"/>
  </w:style>
  <w:style w:type="paragraph" w:styleId="Titre1">
    <w:name w:val="heading 1"/>
    <w:basedOn w:val="Normal"/>
    <w:next w:val="Normal"/>
    <w:qFormat/>
    <w:rsid w:val="008C2B7D"/>
    <w:pPr>
      <w:keepNext/>
      <w:spacing w:line="240" w:lineRule="exact"/>
      <w:outlineLvl w:val="0"/>
    </w:pPr>
    <w:rPr>
      <w:b/>
      <w:bCs/>
      <w:u w:val="single"/>
      <w:lang w:val="fr-FR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743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926E7C"/>
    <w:pPr>
      <w:keepNext/>
      <w:jc w:val="both"/>
      <w:outlineLvl w:val="2"/>
    </w:pPr>
    <w:rPr>
      <w:rFonts w:ascii="Garamond" w:hAnsi="Garamond" w:cs="Times New Roman"/>
      <w:b/>
      <w:color w:val="000000"/>
      <w:sz w:val="22"/>
      <w:szCs w:val="24"/>
      <w:lang w:val="fr-FR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C2B7D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8C2B7D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rsid w:val="00DB290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B290D"/>
    <w:rPr>
      <w:rFonts w:ascii="Tahoma" w:hAnsi="Tahoma" w:cs="Tahoma"/>
      <w:sz w:val="16"/>
      <w:szCs w:val="16"/>
      <w:lang w:val="en-US" w:eastAsia="en-US"/>
    </w:rPr>
  </w:style>
  <w:style w:type="character" w:customStyle="1" w:styleId="Titre3Car">
    <w:name w:val="Titre 3 Car"/>
    <w:basedOn w:val="Policepardfaut"/>
    <w:link w:val="Titre3"/>
    <w:rsid w:val="00926E7C"/>
    <w:rPr>
      <w:rFonts w:ascii="Garamond" w:hAnsi="Garamond" w:cs="Times New Roman"/>
      <w:b/>
      <w:color w:val="000000"/>
      <w:sz w:val="22"/>
      <w:szCs w:val="24"/>
      <w:lang w:val="fr-FR" w:eastAsia="fr-BE"/>
    </w:rPr>
  </w:style>
  <w:style w:type="paragraph" w:styleId="Paragraphedeliste">
    <w:name w:val="List Paragraph"/>
    <w:basedOn w:val="Normal"/>
    <w:uiPriority w:val="34"/>
    <w:qFormat/>
    <w:rsid w:val="00926E7C"/>
    <w:pPr>
      <w:ind w:left="720"/>
      <w:contextualSpacing/>
    </w:pPr>
  </w:style>
  <w:style w:type="character" w:styleId="Marquedecommentaire">
    <w:name w:val="annotation reference"/>
    <w:basedOn w:val="Policepardfaut"/>
    <w:rsid w:val="00B7430A"/>
    <w:rPr>
      <w:sz w:val="16"/>
      <w:szCs w:val="16"/>
    </w:rPr>
  </w:style>
  <w:style w:type="paragraph" w:styleId="Commentaire">
    <w:name w:val="annotation text"/>
    <w:basedOn w:val="Normal"/>
    <w:link w:val="CommentaireCar"/>
    <w:rsid w:val="00B7430A"/>
  </w:style>
  <w:style w:type="character" w:customStyle="1" w:styleId="CommentaireCar">
    <w:name w:val="Commentaire Car"/>
    <w:basedOn w:val="Policepardfaut"/>
    <w:link w:val="Commentaire"/>
    <w:rsid w:val="00B7430A"/>
  </w:style>
  <w:style w:type="paragraph" w:styleId="Objetducommentaire">
    <w:name w:val="annotation subject"/>
    <w:basedOn w:val="Commentaire"/>
    <w:next w:val="Commentaire"/>
    <w:link w:val="ObjetducommentaireCar"/>
    <w:rsid w:val="00B7430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7430A"/>
    <w:rPr>
      <w:b/>
      <w:bCs/>
    </w:rPr>
  </w:style>
  <w:style w:type="character" w:customStyle="1" w:styleId="Titre2Car">
    <w:name w:val="Titre 2 Car"/>
    <w:basedOn w:val="Policepardfaut"/>
    <w:link w:val="Titre2"/>
    <w:rsid w:val="00B743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n-tteCar">
    <w:name w:val="En-tête Car"/>
    <w:link w:val="En-tte"/>
    <w:rsid w:val="009318BF"/>
  </w:style>
  <w:style w:type="character" w:styleId="Appelnotedebasdep">
    <w:name w:val="footnote reference"/>
    <w:rsid w:val="009318BF"/>
  </w:style>
  <w:style w:type="paragraph" w:styleId="Corpsdetexte2">
    <w:name w:val="Body Text 2"/>
    <w:basedOn w:val="Normal"/>
    <w:link w:val="Corpsdetexte2Car"/>
    <w:rsid w:val="009318BF"/>
    <w:pPr>
      <w:widowControl w:val="0"/>
    </w:pPr>
    <w:rPr>
      <w:rFonts w:ascii="Arial" w:hAnsi="Arial" w:cs="Times New Roman"/>
      <w:b/>
      <w:snapToGrid w:val="0"/>
      <w:sz w:val="16"/>
      <w:lang w:val="en-US" w:eastAsia="en-US"/>
    </w:rPr>
  </w:style>
  <w:style w:type="character" w:customStyle="1" w:styleId="Corpsdetexte2Car">
    <w:name w:val="Corps de texte 2 Car"/>
    <w:basedOn w:val="Policepardfaut"/>
    <w:link w:val="Corpsdetexte2"/>
    <w:rsid w:val="009318BF"/>
    <w:rPr>
      <w:rFonts w:ascii="Arial" w:hAnsi="Arial" w:cs="Times New Roman"/>
      <w:b/>
      <w:snapToGrid w:val="0"/>
      <w:sz w:val="16"/>
      <w:lang w:val="en-US" w:eastAsia="en-US"/>
    </w:rPr>
  </w:style>
  <w:style w:type="paragraph" w:styleId="Notedebasdepage">
    <w:name w:val="footnote text"/>
    <w:basedOn w:val="Normal"/>
    <w:next w:val="Normal"/>
    <w:link w:val="NotedebasdepageCar"/>
    <w:rsid w:val="009318BF"/>
    <w:pPr>
      <w:spacing w:before="100"/>
      <w:ind w:left="1800" w:hanging="100"/>
      <w:jc w:val="both"/>
    </w:pPr>
    <w:rPr>
      <w:rFonts w:ascii="Optima" w:hAnsi="Optima" w:cs="Times New Roman"/>
      <w:sz w:val="18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9318BF"/>
    <w:rPr>
      <w:rFonts w:ascii="Optima" w:hAnsi="Optima" w:cs="Times New Roman"/>
      <w:sz w:val="18"/>
      <w:lang w:eastAsia="fr-FR"/>
    </w:rPr>
  </w:style>
  <w:style w:type="character" w:styleId="Lienhypertexte">
    <w:name w:val="Hyperlink"/>
    <w:uiPriority w:val="99"/>
    <w:unhideWhenUsed/>
    <w:rsid w:val="00F41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f.be/fr/blog/publications/annual-report-asf-2018/" TargetMode="Externa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sf.be/fr/blog/2020/03/05/joint-statement-on-the-situation-of-refugees-in-greec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asf.be/wp-content/uploads/2016/11/ASF_TCH_Parajur_201611_FR_PP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sf.be/fr/blog/2020/03/08/partner-profiles-3-4-annie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706FA-70F7-4029-9CB7-F920CBCEE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1105</Words>
  <Characters>6300</Characters>
  <Application>Microsoft Office Word</Application>
  <DocSecurity>0</DocSecurity>
  <Lines>52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</vt:lpstr>
      <vt:lpstr>FAX</vt:lpstr>
    </vt:vector>
  </TitlesOfParts>
  <Company>Ogilvy &amp; Mather</Company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</dc:title>
  <dc:creator>SEVERINE</dc:creator>
  <dc:description>[</dc:description>
  <cp:lastModifiedBy>smallet@asf.be</cp:lastModifiedBy>
  <cp:revision>11</cp:revision>
  <cp:lastPrinted>2015-05-13T09:31:00Z</cp:lastPrinted>
  <dcterms:created xsi:type="dcterms:W3CDTF">2020-03-10T15:57:00Z</dcterms:created>
  <dcterms:modified xsi:type="dcterms:W3CDTF">2020-06-16T08:56:00Z</dcterms:modified>
</cp:coreProperties>
</file>